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B5ED" w14:textId="77777777" w:rsidR="0085621C" w:rsidRDefault="00EA09FA" w:rsidP="006C71C2">
      <w:pPr>
        <w:spacing w:after="0"/>
        <w:jc w:val="right"/>
        <w:rPr>
          <w:rFonts w:ascii="Arial" w:hAnsi="Arial" w:cs="Arial"/>
        </w:rPr>
      </w:pPr>
      <w:r>
        <w:rPr>
          <w:noProof/>
        </w:rPr>
        <w:object w:dxaOrig="1440" w:dyaOrig="1440" w14:anchorId="663C68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0;margin-top:-2.8pt;width:43.75pt;height:53.15pt;z-index:251657728">
            <v:imagedata r:id="rId8" o:title=""/>
            <w10:wrap type="square" side="right"/>
          </v:shape>
          <o:OLEObject Type="Embed" ProgID="AcroExch.Document.DC" ShapeID="_x0000_s2052" DrawAspect="Content" ObjectID="_1721800013" r:id="rId9"/>
        </w:object>
      </w:r>
    </w:p>
    <w:p w14:paraId="58184320" w14:textId="77777777" w:rsidR="006C71C2" w:rsidRPr="006C71C2" w:rsidRDefault="006C71C2" w:rsidP="006C71C2">
      <w:pPr>
        <w:spacing w:after="0"/>
        <w:jc w:val="right"/>
        <w:rPr>
          <w:rFonts w:ascii="Arial" w:hAnsi="Arial" w:cs="Arial"/>
        </w:rPr>
      </w:pPr>
    </w:p>
    <w:p w14:paraId="35D4108C" w14:textId="77777777" w:rsidR="0085621C" w:rsidRPr="00DD21AC" w:rsidRDefault="0085621C" w:rsidP="00A81DC2">
      <w:pPr>
        <w:spacing w:after="0"/>
        <w:rPr>
          <w:rFonts w:ascii="Arial" w:hAnsi="Arial" w:cs="Arial"/>
          <w:b/>
        </w:rPr>
      </w:pPr>
    </w:p>
    <w:p w14:paraId="238B903F" w14:textId="51806831" w:rsidR="009E2455" w:rsidRPr="006F5BC8" w:rsidRDefault="00CA5DD1" w:rsidP="006F5BC8">
      <w:pPr>
        <w:spacing w:after="0"/>
        <w:jc w:val="center"/>
        <w:rPr>
          <w:rFonts w:ascii="Arial" w:hAnsi="Arial" w:cs="Arial"/>
          <w:b/>
        </w:rPr>
      </w:pPr>
      <w:r w:rsidRPr="00DD21AC">
        <w:rPr>
          <w:rFonts w:ascii="Arial" w:hAnsi="Arial" w:cs="Arial"/>
          <w:b/>
        </w:rPr>
        <w:t xml:space="preserve">ARMY </w:t>
      </w:r>
      <w:r w:rsidR="00DD21AC">
        <w:rPr>
          <w:rFonts w:ascii="Arial" w:hAnsi="Arial" w:cs="Arial"/>
          <w:b/>
        </w:rPr>
        <w:t>RUGBY UNION</w:t>
      </w:r>
      <w:r w:rsidRPr="00DD21AC">
        <w:rPr>
          <w:rFonts w:ascii="Arial" w:hAnsi="Arial" w:cs="Arial"/>
          <w:b/>
        </w:rPr>
        <w:t xml:space="preserve"> </w:t>
      </w:r>
      <w:r w:rsidR="00DD21AC">
        <w:rPr>
          <w:rFonts w:ascii="Arial" w:hAnsi="Arial" w:cs="Arial"/>
          <w:b/>
        </w:rPr>
        <w:t xml:space="preserve">PLAYING DEPARTMENTS </w:t>
      </w:r>
      <w:r w:rsidRPr="00DD21AC">
        <w:rPr>
          <w:rFonts w:ascii="Arial" w:hAnsi="Arial" w:cs="Arial"/>
          <w:b/>
        </w:rPr>
        <w:t xml:space="preserve">FIXTURE </w:t>
      </w:r>
      <w:r w:rsidR="00D6611A" w:rsidRPr="00DD21AC">
        <w:rPr>
          <w:rFonts w:ascii="Arial" w:hAnsi="Arial" w:cs="Arial"/>
          <w:b/>
        </w:rPr>
        <w:t>P</w:t>
      </w:r>
      <w:r w:rsidR="00967CF7" w:rsidRPr="00DD21AC">
        <w:rPr>
          <w:rFonts w:ascii="Arial" w:hAnsi="Arial" w:cs="Arial"/>
          <w:b/>
        </w:rPr>
        <w:t>OLICY</w:t>
      </w:r>
    </w:p>
    <w:p w14:paraId="3C297C01" w14:textId="77777777" w:rsidR="00731E91" w:rsidRDefault="006C71C2" w:rsidP="009E24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Reference:</w:t>
      </w:r>
    </w:p>
    <w:p w14:paraId="1E871845" w14:textId="77777777" w:rsidR="006C71C2" w:rsidRDefault="006C71C2" w:rsidP="009E2455">
      <w:pPr>
        <w:spacing w:after="0"/>
        <w:rPr>
          <w:rFonts w:ascii="Arial" w:hAnsi="Arial" w:cs="Arial"/>
        </w:rPr>
      </w:pPr>
    </w:p>
    <w:p w14:paraId="3FBAC3BE" w14:textId="77777777" w:rsidR="002B2CA3" w:rsidRPr="00B06C5D" w:rsidRDefault="002B2CA3" w:rsidP="18D01CA9">
      <w:pPr>
        <w:numPr>
          <w:ilvl w:val="0"/>
          <w:numId w:val="6"/>
        </w:numPr>
        <w:spacing w:after="0"/>
        <w:ind w:firstLine="0"/>
        <w:rPr>
          <w:rFonts w:ascii="Arial" w:hAnsi="Arial" w:cs="Arial"/>
        </w:rPr>
      </w:pPr>
      <w:r w:rsidRPr="00B06C5D">
        <w:rPr>
          <w:rFonts w:ascii="Arial" w:hAnsi="Arial" w:cs="Arial"/>
        </w:rPr>
        <w:t>JSP 660 – Direction on Team &amp; Individual Sport.</w:t>
      </w:r>
      <w:r w:rsidR="002906A7" w:rsidRPr="00B06C5D">
        <w:rPr>
          <w:rFonts w:ascii="Arial" w:hAnsi="Arial" w:cs="Arial"/>
        </w:rPr>
        <w:t xml:space="preserve"> (Team Planning Numbers)</w:t>
      </w:r>
    </w:p>
    <w:p w14:paraId="7AF41E18" w14:textId="77777777" w:rsidR="009E2455" w:rsidRDefault="00615AA8" w:rsidP="0D619B70">
      <w:pPr>
        <w:numPr>
          <w:ilvl w:val="0"/>
          <w:numId w:val="6"/>
        </w:num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743E2C" w:rsidRPr="00743E2C">
        <w:rPr>
          <w:rFonts w:ascii="Arial" w:hAnsi="Arial" w:cs="Arial"/>
        </w:rPr>
        <w:t>DIN10-001</w:t>
      </w:r>
      <w:r w:rsidR="009E2455">
        <w:rPr>
          <w:rFonts w:ascii="Arial" w:hAnsi="Arial" w:cs="Arial"/>
        </w:rPr>
        <w:t>– Overseas Sports Tours.</w:t>
      </w:r>
    </w:p>
    <w:p w14:paraId="0E25A3A3" w14:textId="77777777" w:rsidR="009E2455" w:rsidRDefault="00615AA8" w:rsidP="261874C6">
      <w:pPr>
        <w:numPr>
          <w:ilvl w:val="0"/>
          <w:numId w:val="6"/>
        </w:num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6F5BC8">
        <w:rPr>
          <w:rFonts w:ascii="Arial" w:hAnsi="Arial" w:cs="Arial"/>
        </w:rPr>
        <w:t>0</w:t>
      </w:r>
      <w:r w:rsidR="009E2455" w:rsidRPr="009E2455">
        <w:rPr>
          <w:rFonts w:ascii="Arial" w:hAnsi="Arial" w:cs="Arial"/>
        </w:rPr>
        <w:t>DIN10-016</w:t>
      </w:r>
      <w:r w:rsidR="009E2455">
        <w:rPr>
          <w:rFonts w:ascii="Arial" w:hAnsi="Arial" w:cs="Arial"/>
        </w:rPr>
        <w:t xml:space="preserve"> – Army Sports Lottery</w:t>
      </w:r>
      <w:r w:rsidR="00EF6946">
        <w:rPr>
          <w:rFonts w:ascii="Arial" w:hAnsi="Arial" w:cs="Arial"/>
        </w:rPr>
        <w:t xml:space="preserve"> - Instruction</w:t>
      </w:r>
      <w:r w:rsidR="009E2455">
        <w:rPr>
          <w:rFonts w:ascii="Arial" w:hAnsi="Arial" w:cs="Arial"/>
        </w:rPr>
        <w:t>.</w:t>
      </w:r>
    </w:p>
    <w:p w14:paraId="550364F4" w14:textId="77777777" w:rsidR="009E2455" w:rsidRDefault="009E2455" w:rsidP="009E2455">
      <w:pPr>
        <w:spacing w:after="0"/>
        <w:rPr>
          <w:rFonts w:ascii="Arial" w:hAnsi="Arial" w:cs="Arial"/>
        </w:rPr>
      </w:pPr>
    </w:p>
    <w:p w14:paraId="7E44D315" w14:textId="3A8747DF" w:rsidR="00731E91" w:rsidRDefault="00731E91" w:rsidP="00D6611A">
      <w:pPr>
        <w:numPr>
          <w:ilvl w:val="0"/>
          <w:numId w:val="7"/>
        </w:numPr>
        <w:spacing w:after="0" w:line="240" w:lineRule="auto"/>
        <w:ind w:left="0" w:hanging="11"/>
        <w:rPr>
          <w:rFonts w:ascii="Arial" w:hAnsi="Arial" w:cs="Arial"/>
        </w:rPr>
      </w:pPr>
      <w:r w:rsidRPr="00DD21AC">
        <w:rPr>
          <w:rFonts w:ascii="Arial" w:hAnsi="Arial" w:cs="Arial"/>
        </w:rPr>
        <w:t xml:space="preserve">The Army </w:t>
      </w:r>
      <w:r w:rsidR="002B2CA3" w:rsidRPr="00DD21AC">
        <w:rPr>
          <w:rFonts w:ascii="Arial" w:hAnsi="Arial" w:cs="Arial"/>
        </w:rPr>
        <w:t xml:space="preserve">Rugby Union </w:t>
      </w:r>
      <w:r w:rsidR="002B2CA3" w:rsidRPr="50A7F16D">
        <w:rPr>
          <w:rFonts w:ascii="Arial" w:hAnsi="Arial" w:cs="Arial"/>
        </w:rPr>
        <w:t>are</w:t>
      </w:r>
      <w:r w:rsidR="002B2CA3" w:rsidRPr="00DD21AC">
        <w:rPr>
          <w:rFonts w:ascii="Arial" w:hAnsi="Arial" w:cs="Arial"/>
        </w:rPr>
        <w:t xml:space="preserve"> a category 1 (risk to life) sport within the Army </w:t>
      </w:r>
      <w:r w:rsidRPr="00DD21AC">
        <w:rPr>
          <w:rFonts w:ascii="Arial" w:hAnsi="Arial" w:cs="Arial"/>
        </w:rPr>
        <w:t>Sport Control Board (ASCB)</w:t>
      </w:r>
      <w:r w:rsidR="000A0813" w:rsidRPr="00DD21AC">
        <w:rPr>
          <w:rFonts w:ascii="Arial" w:hAnsi="Arial" w:cs="Arial"/>
        </w:rPr>
        <w:t xml:space="preserve"> </w:t>
      </w:r>
      <w:r w:rsidR="002B2CA3" w:rsidRPr="00DD21AC">
        <w:rPr>
          <w:rFonts w:ascii="Arial" w:hAnsi="Arial" w:cs="Arial"/>
        </w:rPr>
        <w:t xml:space="preserve">who </w:t>
      </w:r>
      <w:r w:rsidR="009544B9" w:rsidRPr="00DD21AC">
        <w:rPr>
          <w:rFonts w:ascii="Arial" w:hAnsi="Arial" w:cs="Arial"/>
        </w:rPr>
        <w:t xml:space="preserve">give clear </w:t>
      </w:r>
      <w:r w:rsidRPr="00DD21AC">
        <w:rPr>
          <w:rFonts w:ascii="Arial" w:hAnsi="Arial" w:cs="Arial"/>
        </w:rPr>
        <w:t xml:space="preserve">guidance to Army Sports on the process and guidelines </w:t>
      </w:r>
      <w:r w:rsidR="002B2CA3" w:rsidRPr="00DD21AC">
        <w:rPr>
          <w:rFonts w:ascii="Arial" w:hAnsi="Arial" w:cs="Arial"/>
        </w:rPr>
        <w:t xml:space="preserve">in Ref A – </w:t>
      </w:r>
      <w:r w:rsidR="00786C14">
        <w:rPr>
          <w:rFonts w:ascii="Arial" w:hAnsi="Arial" w:cs="Arial"/>
        </w:rPr>
        <w:t>C</w:t>
      </w:r>
      <w:r w:rsidR="002B2CA3" w:rsidRPr="00DD21AC">
        <w:rPr>
          <w:rFonts w:ascii="Arial" w:hAnsi="Arial" w:cs="Arial"/>
        </w:rPr>
        <w:t xml:space="preserve"> on how to deliver their spo</w:t>
      </w:r>
      <w:r w:rsidR="0088712E" w:rsidRPr="00DD21AC">
        <w:rPr>
          <w:rFonts w:ascii="Arial" w:hAnsi="Arial" w:cs="Arial"/>
        </w:rPr>
        <w:t xml:space="preserve">rts in line with </w:t>
      </w:r>
      <w:proofErr w:type="gramStart"/>
      <w:r w:rsidR="0088712E" w:rsidRPr="00DD21AC">
        <w:rPr>
          <w:rFonts w:ascii="Arial" w:hAnsi="Arial" w:cs="Arial"/>
        </w:rPr>
        <w:t>Government;</w:t>
      </w:r>
      <w:proofErr w:type="gramEnd"/>
      <w:r w:rsidR="0088712E" w:rsidRPr="00DD21AC">
        <w:rPr>
          <w:rFonts w:ascii="Arial" w:hAnsi="Arial" w:cs="Arial"/>
        </w:rPr>
        <w:t xml:space="preserve"> </w:t>
      </w:r>
      <w:r w:rsidR="002B2CA3" w:rsidRPr="00DD21AC">
        <w:rPr>
          <w:rFonts w:ascii="Arial" w:hAnsi="Arial" w:cs="Arial"/>
        </w:rPr>
        <w:t>National Governing Body</w:t>
      </w:r>
      <w:r w:rsidR="00760999" w:rsidRPr="00DD21AC">
        <w:rPr>
          <w:rFonts w:ascii="Arial" w:hAnsi="Arial" w:cs="Arial"/>
        </w:rPr>
        <w:t xml:space="preserve"> and Army d</w:t>
      </w:r>
      <w:r w:rsidR="002B2CA3" w:rsidRPr="00DD21AC">
        <w:rPr>
          <w:rFonts w:ascii="Arial" w:hAnsi="Arial" w:cs="Arial"/>
        </w:rPr>
        <w:t>irection.</w:t>
      </w:r>
      <w:r w:rsidR="00861AEE" w:rsidRPr="00DD21AC">
        <w:rPr>
          <w:rFonts w:ascii="Arial" w:hAnsi="Arial" w:cs="Arial"/>
        </w:rPr>
        <w:t xml:space="preserve"> </w:t>
      </w:r>
      <w:r w:rsidR="00CE5209" w:rsidRPr="00DD21AC">
        <w:rPr>
          <w:rFonts w:ascii="Arial" w:hAnsi="Arial" w:cs="Arial"/>
        </w:rPr>
        <w:t xml:space="preserve">As a direct consequence of </w:t>
      </w:r>
      <w:r w:rsidR="00861AEE" w:rsidRPr="00DD21AC">
        <w:rPr>
          <w:rFonts w:ascii="Arial" w:hAnsi="Arial" w:cs="Arial"/>
        </w:rPr>
        <w:t xml:space="preserve">the COVID 19 pandemic the </w:t>
      </w:r>
      <w:r w:rsidR="00861AEE" w:rsidRPr="3C1AAACC">
        <w:rPr>
          <w:rFonts w:ascii="Arial" w:hAnsi="Arial" w:cs="Arial"/>
        </w:rPr>
        <w:t xml:space="preserve">Army </w:t>
      </w:r>
      <w:r w:rsidR="00861AEE" w:rsidRPr="3832779E">
        <w:rPr>
          <w:rFonts w:ascii="Arial" w:hAnsi="Arial" w:cs="Arial"/>
        </w:rPr>
        <w:t>Rugby Union</w:t>
      </w:r>
      <w:r w:rsidR="00861AEE" w:rsidRPr="7C57B4B2">
        <w:rPr>
          <w:rFonts w:ascii="Arial" w:hAnsi="Arial" w:cs="Arial"/>
        </w:rPr>
        <w:t xml:space="preserve"> </w:t>
      </w:r>
      <w:r w:rsidR="00861AEE" w:rsidRPr="3832779E">
        <w:rPr>
          <w:rFonts w:ascii="Arial" w:hAnsi="Arial" w:cs="Arial"/>
        </w:rPr>
        <w:t>(</w:t>
      </w:r>
      <w:r w:rsidR="00861AEE" w:rsidRPr="414945E3">
        <w:rPr>
          <w:rFonts w:ascii="Arial" w:hAnsi="Arial" w:cs="Arial"/>
        </w:rPr>
        <w:t>ARU)</w:t>
      </w:r>
      <w:r w:rsidR="00861AEE" w:rsidRPr="00DD21AC">
        <w:rPr>
          <w:rFonts w:ascii="Arial" w:hAnsi="Arial" w:cs="Arial"/>
        </w:rPr>
        <w:t xml:space="preserve"> </w:t>
      </w:r>
      <w:r w:rsidR="00FC14AD" w:rsidRPr="4E0B478A">
        <w:rPr>
          <w:rFonts w:ascii="Arial" w:hAnsi="Arial" w:cs="Arial"/>
        </w:rPr>
        <w:t>are</w:t>
      </w:r>
      <w:r w:rsidR="00FC14AD">
        <w:rPr>
          <w:rFonts w:ascii="Arial" w:hAnsi="Arial" w:cs="Arial"/>
        </w:rPr>
        <w:t xml:space="preserve"> going through a </w:t>
      </w:r>
      <w:r w:rsidR="00FC14AD" w:rsidRPr="545B07BD">
        <w:rPr>
          <w:rFonts w:ascii="Arial" w:hAnsi="Arial" w:cs="Arial"/>
        </w:rPr>
        <w:t>rebuild</w:t>
      </w:r>
      <w:r w:rsidR="00A52842">
        <w:rPr>
          <w:rFonts w:ascii="Arial" w:hAnsi="Arial" w:cs="Arial"/>
        </w:rPr>
        <w:t xml:space="preserve"> </w:t>
      </w:r>
      <w:r w:rsidR="000C1F23">
        <w:rPr>
          <w:rFonts w:ascii="Arial" w:hAnsi="Arial" w:cs="Arial"/>
        </w:rPr>
        <w:t xml:space="preserve">period </w:t>
      </w:r>
      <w:r w:rsidR="00A52842">
        <w:rPr>
          <w:rFonts w:ascii="Arial" w:hAnsi="Arial" w:cs="Arial"/>
        </w:rPr>
        <w:t xml:space="preserve">and </w:t>
      </w:r>
      <w:r w:rsidR="00A52842" w:rsidRPr="631EE4A1">
        <w:rPr>
          <w:rFonts w:ascii="Arial" w:hAnsi="Arial" w:cs="Arial"/>
        </w:rPr>
        <w:t>are</w:t>
      </w:r>
      <w:r w:rsidR="00A52842">
        <w:rPr>
          <w:rFonts w:ascii="Arial" w:hAnsi="Arial" w:cs="Arial"/>
        </w:rPr>
        <w:t xml:space="preserve"> renewing its</w:t>
      </w:r>
      <w:r w:rsidR="00861AEE" w:rsidRPr="00DD21AC">
        <w:rPr>
          <w:rFonts w:ascii="Arial" w:hAnsi="Arial" w:cs="Arial"/>
        </w:rPr>
        <w:t xml:space="preserve"> </w:t>
      </w:r>
      <w:r w:rsidR="00615AA8" w:rsidRPr="00DD21AC">
        <w:rPr>
          <w:rFonts w:ascii="Arial" w:hAnsi="Arial" w:cs="Arial"/>
        </w:rPr>
        <w:t xml:space="preserve">generated </w:t>
      </w:r>
      <w:r w:rsidR="00861AEE" w:rsidRPr="00DD21AC">
        <w:rPr>
          <w:rFonts w:ascii="Arial" w:hAnsi="Arial" w:cs="Arial"/>
        </w:rPr>
        <w:t>income from</w:t>
      </w:r>
      <w:r w:rsidR="00E43FFF" w:rsidRPr="00DD21AC">
        <w:rPr>
          <w:rFonts w:ascii="Arial" w:hAnsi="Arial" w:cs="Arial"/>
        </w:rPr>
        <w:t xml:space="preserve"> </w:t>
      </w:r>
      <w:r w:rsidR="00861AEE" w:rsidRPr="00DD21AC">
        <w:rPr>
          <w:rFonts w:ascii="Arial" w:hAnsi="Arial" w:cs="Arial"/>
        </w:rPr>
        <w:t>Inter Services (IS) games and</w:t>
      </w:r>
      <w:r w:rsidR="00A52842">
        <w:rPr>
          <w:rFonts w:ascii="Arial" w:hAnsi="Arial" w:cs="Arial"/>
        </w:rPr>
        <w:t xml:space="preserve"> </w:t>
      </w:r>
      <w:r w:rsidR="00A52842" w:rsidRPr="2C976822">
        <w:rPr>
          <w:rFonts w:ascii="Arial" w:hAnsi="Arial" w:cs="Arial"/>
        </w:rPr>
        <w:t xml:space="preserve">Direct &amp; </w:t>
      </w:r>
      <w:r w:rsidR="00A52842" w:rsidRPr="7DD6D0E1">
        <w:rPr>
          <w:rFonts w:ascii="Arial" w:hAnsi="Arial" w:cs="Arial"/>
        </w:rPr>
        <w:t xml:space="preserve">Indirect </w:t>
      </w:r>
      <w:r w:rsidR="00861AEE" w:rsidRPr="7DD6D0E1">
        <w:rPr>
          <w:rFonts w:ascii="Arial" w:hAnsi="Arial" w:cs="Arial"/>
        </w:rPr>
        <w:t>sponsorship</w:t>
      </w:r>
      <w:r w:rsidR="00861AEE" w:rsidRPr="00DD21AC">
        <w:rPr>
          <w:rFonts w:ascii="Arial" w:hAnsi="Arial" w:cs="Arial"/>
        </w:rPr>
        <w:t xml:space="preserve"> for </w:t>
      </w:r>
      <w:r w:rsidR="000C1F23">
        <w:rPr>
          <w:rFonts w:ascii="Arial" w:hAnsi="Arial" w:cs="Arial"/>
        </w:rPr>
        <w:t xml:space="preserve">the next </w:t>
      </w:r>
      <w:r w:rsidR="00861AEE" w:rsidRPr="00DD21AC">
        <w:rPr>
          <w:rFonts w:ascii="Arial" w:hAnsi="Arial" w:cs="Arial"/>
        </w:rPr>
        <w:t xml:space="preserve">24 months. </w:t>
      </w:r>
      <w:r w:rsidR="00E43FFF" w:rsidRPr="00DD21AC">
        <w:rPr>
          <w:rFonts w:ascii="Arial" w:hAnsi="Arial" w:cs="Arial"/>
        </w:rPr>
        <w:t xml:space="preserve">The next Army v Navy match to </w:t>
      </w:r>
      <w:r w:rsidR="00861AEE" w:rsidRPr="00DD21AC">
        <w:rPr>
          <w:rFonts w:ascii="Arial" w:hAnsi="Arial" w:cs="Arial"/>
        </w:rPr>
        <w:t xml:space="preserve">be played at Twickenham </w:t>
      </w:r>
      <w:r w:rsidR="00E43FFF" w:rsidRPr="00DD21AC">
        <w:rPr>
          <w:rFonts w:ascii="Arial" w:hAnsi="Arial" w:cs="Arial"/>
        </w:rPr>
        <w:t>is scheduled for</w:t>
      </w:r>
      <w:r w:rsidR="00861AEE" w:rsidRPr="00DD21AC">
        <w:rPr>
          <w:rFonts w:ascii="Arial" w:hAnsi="Arial" w:cs="Arial"/>
        </w:rPr>
        <w:t xml:space="preserve"> </w:t>
      </w:r>
      <w:r w:rsidR="005533E3" w:rsidRPr="2AC0B967">
        <w:rPr>
          <w:rFonts w:ascii="Arial" w:hAnsi="Arial" w:cs="Arial"/>
        </w:rPr>
        <w:t>S</w:t>
      </w:r>
      <w:r w:rsidR="00845B0C" w:rsidRPr="2AC0B967">
        <w:rPr>
          <w:rFonts w:ascii="Arial" w:hAnsi="Arial" w:cs="Arial"/>
        </w:rPr>
        <w:t>aturday</w:t>
      </w:r>
      <w:r w:rsidR="00845B0C">
        <w:rPr>
          <w:rFonts w:ascii="Arial" w:hAnsi="Arial" w:cs="Arial"/>
        </w:rPr>
        <w:t xml:space="preserve"> </w:t>
      </w:r>
      <w:r w:rsidR="00BA3808">
        <w:rPr>
          <w:rFonts w:ascii="Arial" w:hAnsi="Arial" w:cs="Arial"/>
        </w:rPr>
        <w:t>6 May 2023</w:t>
      </w:r>
      <w:r w:rsidR="005533E3" w:rsidRPr="00DD21AC">
        <w:rPr>
          <w:rFonts w:ascii="Arial" w:hAnsi="Arial" w:cs="Arial"/>
        </w:rPr>
        <w:t>.</w:t>
      </w:r>
    </w:p>
    <w:p w14:paraId="3DE150F8" w14:textId="07EC2266" w:rsidR="00D52C92" w:rsidRDefault="00D52C92" w:rsidP="00D52C92">
      <w:pPr>
        <w:spacing w:after="0" w:line="240" w:lineRule="auto"/>
        <w:rPr>
          <w:rFonts w:ascii="Arial" w:hAnsi="Arial" w:cs="Arial"/>
        </w:rPr>
      </w:pPr>
    </w:p>
    <w:p w14:paraId="08F0508A" w14:textId="4A21905A" w:rsidR="00D52C92" w:rsidRPr="00DD21AC" w:rsidRDefault="00B854CB" w:rsidP="00D52C92">
      <w:pPr>
        <w:numPr>
          <w:ilvl w:val="0"/>
          <w:numId w:val="7"/>
        </w:numPr>
        <w:spacing w:after="0" w:line="240" w:lineRule="auto"/>
        <w:ind w:left="11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The UKAF Sports Board have recently </w:t>
      </w:r>
      <w:r w:rsidR="00DC0A9F">
        <w:rPr>
          <w:rFonts w:ascii="Arial" w:hAnsi="Arial" w:cs="Arial"/>
        </w:rPr>
        <w:t xml:space="preserve">approved a Rugby Union uplift to </w:t>
      </w:r>
      <w:r w:rsidR="00A073FD">
        <w:rPr>
          <w:rFonts w:ascii="Arial" w:hAnsi="Arial" w:cs="Arial"/>
        </w:rPr>
        <w:t xml:space="preserve">the three Services </w:t>
      </w:r>
      <w:r w:rsidR="002A4EB6">
        <w:rPr>
          <w:rFonts w:ascii="Arial" w:hAnsi="Arial" w:cs="Arial"/>
        </w:rPr>
        <w:t>(</w:t>
      </w:r>
      <w:r w:rsidR="002A4EB6" w:rsidRPr="74BB7010">
        <w:rPr>
          <w:rFonts w:ascii="Arial" w:hAnsi="Arial" w:cs="Arial"/>
        </w:rPr>
        <w:t>Ref</w:t>
      </w:r>
      <w:r w:rsidR="002A4EB6">
        <w:rPr>
          <w:rFonts w:ascii="Arial" w:hAnsi="Arial" w:cs="Arial"/>
        </w:rPr>
        <w:t xml:space="preserve"> A) </w:t>
      </w:r>
      <w:r w:rsidR="00CB190E">
        <w:rPr>
          <w:rFonts w:ascii="Arial" w:hAnsi="Arial" w:cs="Arial"/>
        </w:rPr>
        <w:t xml:space="preserve">that will be reflected in the next </w:t>
      </w:r>
      <w:r w:rsidR="00CB190E" w:rsidRPr="5CC110C5">
        <w:rPr>
          <w:rFonts w:ascii="Arial" w:hAnsi="Arial" w:cs="Arial"/>
        </w:rPr>
        <w:t xml:space="preserve">Joint </w:t>
      </w:r>
      <w:r w:rsidR="00CB190E" w:rsidRPr="4938D286">
        <w:rPr>
          <w:rFonts w:ascii="Arial" w:hAnsi="Arial" w:cs="Arial"/>
        </w:rPr>
        <w:t xml:space="preserve">Service </w:t>
      </w:r>
      <w:r w:rsidR="00CB190E" w:rsidRPr="47F95B09">
        <w:rPr>
          <w:rFonts w:ascii="Arial" w:hAnsi="Arial" w:cs="Arial"/>
        </w:rPr>
        <w:t xml:space="preserve">Publication </w:t>
      </w:r>
      <w:r w:rsidR="00CB190E" w:rsidRPr="7052D021">
        <w:rPr>
          <w:rFonts w:ascii="Arial" w:hAnsi="Arial" w:cs="Arial"/>
        </w:rPr>
        <w:t>660(</w:t>
      </w:r>
      <w:r w:rsidR="00CB190E" w:rsidRPr="3CAF8525">
        <w:rPr>
          <w:rFonts w:ascii="Arial" w:hAnsi="Arial" w:cs="Arial"/>
        </w:rPr>
        <w:t>JSP660</w:t>
      </w:r>
      <w:r w:rsidR="00CB190E" w:rsidRPr="13D3129B">
        <w:rPr>
          <w:rFonts w:ascii="Arial" w:hAnsi="Arial" w:cs="Arial"/>
        </w:rPr>
        <w:t xml:space="preserve">): </w:t>
      </w:r>
      <w:r w:rsidR="00A073FD">
        <w:rPr>
          <w:rFonts w:ascii="Arial" w:hAnsi="Arial" w:cs="Arial"/>
        </w:rPr>
        <w:t xml:space="preserve">for XVs </w:t>
      </w:r>
      <w:r w:rsidR="00CB190E">
        <w:rPr>
          <w:rFonts w:ascii="Arial" w:hAnsi="Arial" w:cs="Arial"/>
        </w:rPr>
        <w:t xml:space="preserve">this is </w:t>
      </w:r>
      <w:r w:rsidR="00A073FD">
        <w:rPr>
          <w:rFonts w:ascii="Arial" w:hAnsi="Arial" w:cs="Arial"/>
        </w:rPr>
        <w:t xml:space="preserve">now a playing squad of 30 players and 10 management and for </w:t>
      </w:r>
      <w:r w:rsidR="00A073FD" w:rsidRPr="3BF111E1">
        <w:rPr>
          <w:rFonts w:ascii="Arial" w:hAnsi="Arial" w:cs="Arial"/>
        </w:rPr>
        <w:t>VIIs</w:t>
      </w:r>
      <w:r w:rsidR="00A073FD">
        <w:rPr>
          <w:rFonts w:ascii="Arial" w:hAnsi="Arial" w:cs="Arial"/>
        </w:rPr>
        <w:t xml:space="preserve"> a playing squad of 16 and management of </w:t>
      </w:r>
      <w:r w:rsidR="00ED15B3">
        <w:rPr>
          <w:rFonts w:ascii="Arial" w:hAnsi="Arial" w:cs="Arial"/>
        </w:rPr>
        <w:t>7. D</w:t>
      </w:r>
      <w:r w:rsidR="0021478F">
        <w:rPr>
          <w:rFonts w:ascii="Arial" w:hAnsi="Arial" w:cs="Arial"/>
        </w:rPr>
        <w:t xml:space="preserve">irectors </w:t>
      </w:r>
      <w:r w:rsidR="00ED15B3">
        <w:rPr>
          <w:rFonts w:ascii="Arial" w:hAnsi="Arial" w:cs="Arial"/>
        </w:rPr>
        <w:t>o</w:t>
      </w:r>
      <w:r w:rsidR="0021478F">
        <w:rPr>
          <w:rFonts w:ascii="Arial" w:hAnsi="Arial" w:cs="Arial"/>
        </w:rPr>
        <w:t xml:space="preserve">f </w:t>
      </w:r>
      <w:proofErr w:type="gramStart"/>
      <w:r w:rsidR="00ED15B3">
        <w:rPr>
          <w:rFonts w:ascii="Arial" w:hAnsi="Arial" w:cs="Arial"/>
        </w:rPr>
        <w:t>R</w:t>
      </w:r>
      <w:r w:rsidR="0021478F">
        <w:rPr>
          <w:rFonts w:ascii="Arial" w:hAnsi="Arial" w:cs="Arial"/>
        </w:rPr>
        <w:t>ugby</w:t>
      </w:r>
      <w:r w:rsidR="0021478F" w:rsidRPr="3BF111E1">
        <w:rPr>
          <w:rFonts w:ascii="Arial" w:hAnsi="Arial" w:cs="Arial"/>
        </w:rPr>
        <w:t>(</w:t>
      </w:r>
      <w:proofErr w:type="spellStart"/>
      <w:proofErr w:type="gramEnd"/>
      <w:r w:rsidR="0021478F" w:rsidRPr="262C4AE6">
        <w:rPr>
          <w:rFonts w:ascii="Arial" w:hAnsi="Arial" w:cs="Arial"/>
        </w:rPr>
        <w:t>DoR</w:t>
      </w:r>
      <w:proofErr w:type="spellEnd"/>
      <w:r w:rsidR="0021478F" w:rsidRPr="262C4AE6">
        <w:rPr>
          <w:rFonts w:ascii="Arial" w:hAnsi="Arial" w:cs="Arial"/>
        </w:rPr>
        <w:t>)</w:t>
      </w:r>
      <w:r w:rsidR="00ED15B3">
        <w:rPr>
          <w:rFonts w:ascii="Arial" w:hAnsi="Arial" w:cs="Arial"/>
        </w:rPr>
        <w:t xml:space="preserve"> have been given the full detail</w:t>
      </w:r>
      <w:r w:rsidR="004A5B2B">
        <w:rPr>
          <w:rFonts w:ascii="Arial" w:hAnsi="Arial" w:cs="Arial"/>
        </w:rPr>
        <w:t xml:space="preserve"> and shown in the table below</w:t>
      </w:r>
      <w:r w:rsidR="00ED15B3">
        <w:rPr>
          <w:rFonts w:ascii="Arial" w:hAnsi="Arial" w:cs="Arial"/>
        </w:rPr>
        <w:t>.</w:t>
      </w:r>
    </w:p>
    <w:p w14:paraId="3162C2CB" w14:textId="77777777" w:rsidR="002B2CA3" w:rsidRPr="00DD21AC" w:rsidRDefault="002B2CA3" w:rsidP="00D6611A">
      <w:pPr>
        <w:spacing w:after="0" w:line="240" w:lineRule="auto"/>
        <w:rPr>
          <w:rFonts w:ascii="Arial" w:hAnsi="Arial" w:cs="Arial"/>
        </w:rPr>
      </w:pPr>
    </w:p>
    <w:p w14:paraId="34D7AA75" w14:textId="55354346" w:rsidR="002B2CA3" w:rsidRPr="00DD21AC" w:rsidRDefault="00CE5209" w:rsidP="00615AA8">
      <w:pPr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</w:rPr>
      </w:pPr>
      <w:r w:rsidRPr="00DD21AC">
        <w:rPr>
          <w:rFonts w:ascii="Arial" w:hAnsi="Arial" w:cs="Arial"/>
        </w:rPr>
        <w:t>The ASCB define the ARU fifteen-</w:t>
      </w:r>
      <w:r w:rsidR="002B2CA3" w:rsidRPr="00DD21AC">
        <w:rPr>
          <w:rFonts w:ascii="Arial" w:hAnsi="Arial" w:cs="Arial"/>
        </w:rPr>
        <w:t>a</w:t>
      </w:r>
      <w:r w:rsidRPr="00DD21AC">
        <w:rPr>
          <w:rFonts w:ascii="Arial" w:hAnsi="Arial" w:cs="Arial"/>
        </w:rPr>
        <w:t>-</w:t>
      </w:r>
      <w:r w:rsidR="002B2CA3" w:rsidRPr="00DD21AC">
        <w:rPr>
          <w:rFonts w:ascii="Arial" w:hAnsi="Arial" w:cs="Arial"/>
        </w:rPr>
        <w:t xml:space="preserve">side season as a period between September and </w:t>
      </w:r>
      <w:r w:rsidR="002B2CA3" w:rsidRPr="239400BE">
        <w:rPr>
          <w:rFonts w:ascii="Arial" w:hAnsi="Arial" w:cs="Arial"/>
        </w:rPr>
        <w:t>May</w:t>
      </w:r>
      <w:r w:rsidR="002B2CA3" w:rsidRPr="00DD21AC">
        <w:rPr>
          <w:rFonts w:ascii="Arial" w:hAnsi="Arial" w:cs="Arial"/>
        </w:rPr>
        <w:t xml:space="preserve"> annually with some cross over between the ARU and Army Rugby League (ARL). It is accepted that the annual Army v Navy match will often occur on the first </w:t>
      </w:r>
      <w:r w:rsidRPr="00DD21AC">
        <w:rPr>
          <w:rFonts w:ascii="Arial" w:hAnsi="Arial" w:cs="Arial"/>
        </w:rPr>
        <w:t xml:space="preserve">May </w:t>
      </w:r>
      <w:r w:rsidR="002B2CA3" w:rsidRPr="165C1A2A">
        <w:rPr>
          <w:rFonts w:ascii="Arial" w:hAnsi="Arial" w:cs="Arial"/>
        </w:rPr>
        <w:t xml:space="preserve">Bank </w:t>
      </w:r>
      <w:r w:rsidR="002B2CA3" w:rsidRPr="672F4FF4">
        <w:rPr>
          <w:rFonts w:ascii="Arial" w:hAnsi="Arial" w:cs="Arial"/>
        </w:rPr>
        <w:t>Holiday</w:t>
      </w:r>
      <w:r w:rsidR="002B2CA3" w:rsidRPr="6A6FA78A">
        <w:rPr>
          <w:rFonts w:ascii="Arial" w:hAnsi="Arial" w:cs="Arial"/>
        </w:rPr>
        <w:t xml:space="preserve"> </w:t>
      </w:r>
      <w:r w:rsidR="002B2CA3" w:rsidRPr="672F4FF4">
        <w:rPr>
          <w:rFonts w:ascii="Arial" w:hAnsi="Arial" w:cs="Arial"/>
        </w:rPr>
        <w:t>(BH)</w:t>
      </w:r>
      <w:r w:rsidRPr="672F4FF4">
        <w:rPr>
          <w:rFonts w:ascii="Arial" w:hAnsi="Arial" w:cs="Arial"/>
        </w:rPr>
        <w:t>.</w:t>
      </w:r>
    </w:p>
    <w:p w14:paraId="50B313A2" w14:textId="77777777" w:rsidR="00CE5209" w:rsidRPr="00DD21AC" w:rsidRDefault="00CE5209" w:rsidP="00CE5209">
      <w:pPr>
        <w:spacing w:after="0" w:line="240" w:lineRule="auto"/>
        <w:rPr>
          <w:rFonts w:ascii="Arial" w:hAnsi="Arial" w:cs="Arial"/>
        </w:rPr>
      </w:pPr>
    </w:p>
    <w:p w14:paraId="0105127C" w14:textId="03013065" w:rsidR="00F92BCC" w:rsidRPr="00DD21AC" w:rsidRDefault="0088712E" w:rsidP="00615AA8">
      <w:pPr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</w:rPr>
      </w:pPr>
      <w:r w:rsidRPr="00DD21AC">
        <w:rPr>
          <w:rFonts w:ascii="Arial" w:hAnsi="Arial" w:cs="Arial"/>
        </w:rPr>
        <w:t>The ARU</w:t>
      </w:r>
      <w:r w:rsidR="002B2CA3" w:rsidRPr="00DD21AC">
        <w:rPr>
          <w:rFonts w:ascii="Arial" w:hAnsi="Arial" w:cs="Arial"/>
        </w:rPr>
        <w:t xml:space="preserve"> ‘</w:t>
      </w:r>
      <w:r w:rsidR="002B2CA3" w:rsidRPr="00DD21AC">
        <w:rPr>
          <w:rFonts w:ascii="Arial" w:hAnsi="Arial" w:cs="Arial"/>
          <w:i/>
        </w:rPr>
        <w:t>structured season’</w:t>
      </w:r>
      <w:r w:rsidR="002B2CA3" w:rsidRPr="00DD21AC">
        <w:rPr>
          <w:rFonts w:ascii="Arial" w:hAnsi="Arial" w:cs="Arial"/>
        </w:rPr>
        <w:t xml:space="preserve"> that aligns to that of the Chair’s ‘</w:t>
      </w:r>
      <w:r w:rsidR="00CE5209" w:rsidRPr="00DD21AC">
        <w:rPr>
          <w:rFonts w:ascii="Arial" w:hAnsi="Arial" w:cs="Arial"/>
        </w:rPr>
        <w:t>hierarchal</w:t>
      </w:r>
      <w:r w:rsidR="002B2CA3" w:rsidRPr="00DD21AC">
        <w:rPr>
          <w:rFonts w:ascii="Arial" w:hAnsi="Arial" w:cs="Arial"/>
        </w:rPr>
        <w:t xml:space="preserve"> pyramid</w:t>
      </w:r>
      <w:r w:rsidR="007906AB">
        <w:rPr>
          <w:rFonts w:ascii="Arial" w:hAnsi="Arial" w:cs="Arial"/>
        </w:rPr>
        <w:t xml:space="preserve"> of priority</w:t>
      </w:r>
      <w:r w:rsidR="00424A08">
        <w:rPr>
          <w:rFonts w:ascii="Arial" w:hAnsi="Arial" w:cs="Arial"/>
        </w:rPr>
        <w:t xml:space="preserve"> – Annex </w:t>
      </w:r>
      <w:r w:rsidR="00424A08" w:rsidRPr="79E8A966">
        <w:rPr>
          <w:rFonts w:ascii="Arial" w:hAnsi="Arial" w:cs="Arial"/>
        </w:rPr>
        <w:t>C</w:t>
      </w:r>
      <w:r w:rsidR="007906AB">
        <w:rPr>
          <w:rFonts w:ascii="Arial" w:hAnsi="Arial" w:cs="Arial"/>
        </w:rPr>
        <w:t xml:space="preserve"> and is based on 28</w:t>
      </w:r>
      <w:r w:rsidR="002B2CA3" w:rsidRPr="00DD21AC">
        <w:rPr>
          <w:rFonts w:ascii="Arial" w:hAnsi="Arial" w:cs="Arial"/>
        </w:rPr>
        <w:t xml:space="preserve"> weeks</w:t>
      </w:r>
      <w:r w:rsidR="00D6611A" w:rsidRPr="00DD21AC">
        <w:rPr>
          <w:rFonts w:ascii="Arial" w:hAnsi="Arial" w:cs="Arial"/>
        </w:rPr>
        <w:t xml:space="preserve"> (as highlighted above)</w:t>
      </w:r>
      <w:r w:rsidR="002B2CA3" w:rsidRPr="00DD21AC">
        <w:rPr>
          <w:rFonts w:ascii="Arial" w:hAnsi="Arial" w:cs="Arial"/>
        </w:rPr>
        <w:t xml:space="preserve">, allowing for Christmas and Easter </w:t>
      </w:r>
      <w:r w:rsidR="00CE5209" w:rsidRPr="00DD21AC">
        <w:rPr>
          <w:rFonts w:ascii="Arial" w:hAnsi="Arial" w:cs="Arial"/>
        </w:rPr>
        <w:t>stand downs</w:t>
      </w:r>
      <w:r w:rsidR="002B2CA3" w:rsidRPr="00DD21AC">
        <w:rPr>
          <w:rFonts w:ascii="Arial" w:hAnsi="Arial" w:cs="Arial"/>
        </w:rPr>
        <w:t xml:space="preserve">. </w:t>
      </w:r>
      <w:r w:rsidR="00F92BCC" w:rsidRPr="00DD21AC">
        <w:rPr>
          <w:rFonts w:ascii="Arial" w:hAnsi="Arial" w:cs="Arial"/>
        </w:rPr>
        <w:t>The breakdown of weeks allocated to level of games are:</w:t>
      </w:r>
    </w:p>
    <w:p w14:paraId="3AA2D05A" w14:textId="77777777" w:rsidR="00F92BCC" w:rsidRPr="00DD21AC" w:rsidRDefault="00F92BCC" w:rsidP="00CE5209">
      <w:pPr>
        <w:numPr>
          <w:ilvl w:val="1"/>
          <w:numId w:val="7"/>
        </w:numPr>
        <w:spacing w:after="0" w:line="240" w:lineRule="auto"/>
        <w:ind w:hanging="731"/>
        <w:rPr>
          <w:rFonts w:ascii="Arial" w:hAnsi="Arial" w:cs="Arial"/>
        </w:rPr>
      </w:pPr>
      <w:r w:rsidRPr="00DD21AC">
        <w:rPr>
          <w:rFonts w:ascii="Arial" w:hAnsi="Arial" w:cs="Arial"/>
        </w:rPr>
        <w:t xml:space="preserve">Community – </w:t>
      </w:r>
      <w:r w:rsidR="00C51F85">
        <w:rPr>
          <w:rFonts w:ascii="Arial" w:hAnsi="Arial" w:cs="Arial"/>
        </w:rPr>
        <w:t>8</w:t>
      </w:r>
      <w:r w:rsidR="00CE5209" w:rsidRPr="00DD21AC">
        <w:rPr>
          <w:rFonts w:ascii="Arial" w:hAnsi="Arial" w:cs="Arial"/>
        </w:rPr>
        <w:t xml:space="preserve"> </w:t>
      </w:r>
      <w:proofErr w:type="gramStart"/>
      <w:r w:rsidR="005465A8" w:rsidRPr="00DD21AC">
        <w:rPr>
          <w:rFonts w:ascii="Arial" w:hAnsi="Arial" w:cs="Arial"/>
        </w:rPr>
        <w:t>fixtures</w:t>
      </w:r>
      <w:r w:rsidR="00CE5209" w:rsidRPr="00DD21AC">
        <w:rPr>
          <w:rFonts w:ascii="Arial" w:hAnsi="Arial" w:cs="Arial"/>
        </w:rPr>
        <w:t>;</w:t>
      </w:r>
      <w:proofErr w:type="gramEnd"/>
    </w:p>
    <w:p w14:paraId="131FD41B" w14:textId="6435C174" w:rsidR="00F92BCC" w:rsidRPr="00DD21AC" w:rsidRDefault="00F92BCC" w:rsidP="00CE5209">
      <w:pPr>
        <w:numPr>
          <w:ilvl w:val="1"/>
          <w:numId w:val="7"/>
        </w:numPr>
        <w:spacing w:after="0" w:line="240" w:lineRule="auto"/>
        <w:ind w:hanging="731"/>
        <w:rPr>
          <w:rFonts w:ascii="Arial" w:hAnsi="Arial" w:cs="Arial"/>
        </w:rPr>
      </w:pPr>
      <w:r w:rsidRPr="00DD21AC">
        <w:rPr>
          <w:rFonts w:ascii="Arial" w:hAnsi="Arial" w:cs="Arial"/>
        </w:rPr>
        <w:t xml:space="preserve">Corps – </w:t>
      </w:r>
      <w:r w:rsidR="000C3CF0">
        <w:rPr>
          <w:rFonts w:ascii="Arial" w:hAnsi="Arial" w:cs="Arial"/>
        </w:rPr>
        <w:t>8</w:t>
      </w:r>
      <w:r w:rsidR="005465A8" w:rsidRPr="00DD21AC">
        <w:rPr>
          <w:rFonts w:ascii="Arial" w:hAnsi="Arial" w:cs="Arial"/>
        </w:rPr>
        <w:t xml:space="preserve"> fixtures</w:t>
      </w:r>
      <w:r w:rsidR="00CE5209" w:rsidRPr="00DD21AC">
        <w:rPr>
          <w:rFonts w:ascii="Arial" w:hAnsi="Arial" w:cs="Arial"/>
        </w:rPr>
        <w:t>. T</w:t>
      </w:r>
      <w:r w:rsidRPr="00DD21AC">
        <w:rPr>
          <w:rFonts w:ascii="Arial" w:hAnsi="Arial" w:cs="Arial"/>
        </w:rPr>
        <w:t>his includes a Corps Festival</w:t>
      </w:r>
      <w:r w:rsidRPr="29AFD303">
        <w:rPr>
          <w:rFonts w:ascii="Arial" w:hAnsi="Arial" w:cs="Arial"/>
        </w:rPr>
        <w:t>;</w:t>
      </w:r>
      <w:r w:rsidRPr="00DD21AC">
        <w:rPr>
          <w:rFonts w:ascii="Arial" w:hAnsi="Arial" w:cs="Arial"/>
        </w:rPr>
        <w:t xml:space="preserve"> </w:t>
      </w:r>
      <w:r w:rsidR="00E43FFF" w:rsidRPr="00DD21AC">
        <w:rPr>
          <w:rFonts w:ascii="Arial" w:hAnsi="Arial" w:cs="Arial"/>
        </w:rPr>
        <w:t>six</w:t>
      </w:r>
      <w:r w:rsidRPr="00DD21AC">
        <w:rPr>
          <w:rFonts w:ascii="Arial" w:hAnsi="Arial" w:cs="Arial"/>
        </w:rPr>
        <w:t xml:space="preserve"> Corps league play </w:t>
      </w:r>
      <w:r w:rsidR="00CE5209" w:rsidRPr="00DD21AC">
        <w:rPr>
          <w:rFonts w:ascii="Arial" w:hAnsi="Arial" w:cs="Arial"/>
        </w:rPr>
        <w:t>on dates and a Corps finals day; and</w:t>
      </w:r>
    </w:p>
    <w:p w14:paraId="4718D2B8" w14:textId="77777777" w:rsidR="00F92BCC" w:rsidRPr="00DD21AC" w:rsidRDefault="00F92BCC" w:rsidP="00CE5209">
      <w:pPr>
        <w:numPr>
          <w:ilvl w:val="1"/>
          <w:numId w:val="7"/>
        </w:numPr>
        <w:spacing w:after="0" w:line="240" w:lineRule="auto"/>
        <w:ind w:hanging="731"/>
        <w:rPr>
          <w:rFonts w:ascii="Arial" w:hAnsi="Arial" w:cs="Arial"/>
        </w:rPr>
      </w:pPr>
      <w:r w:rsidRPr="00DD21AC">
        <w:rPr>
          <w:rFonts w:ascii="Arial" w:hAnsi="Arial" w:cs="Arial"/>
        </w:rPr>
        <w:t>Representative:</w:t>
      </w:r>
    </w:p>
    <w:p w14:paraId="1E58BE8D" w14:textId="03CA8C6E" w:rsidR="00F92BCC" w:rsidRPr="00DD21AC" w:rsidRDefault="00CE5209" w:rsidP="741C7E1D">
      <w:pPr>
        <w:numPr>
          <w:ilvl w:val="2"/>
          <w:numId w:val="7"/>
        </w:numPr>
        <w:spacing w:after="0" w:line="240" w:lineRule="auto"/>
        <w:ind w:left="1440" w:hanging="22"/>
        <w:rPr>
          <w:rFonts w:ascii="Arial" w:hAnsi="Arial" w:cs="Arial"/>
        </w:rPr>
      </w:pPr>
      <w:r w:rsidRPr="00DD21AC">
        <w:rPr>
          <w:rFonts w:ascii="Arial" w:hAnsi="Arial" w:cs="Arial"/>
        </w:rPr>
        <w:t xml:space="preserve">Men, </w:t>
      </w:r>
      <w:r w:rsidR="00F92BCC" w:rsidRPr="00DD21AC">
        <w:rPr>
          <w:rFonts w:ascii="Arial" w:hAnsi="Arial" w:cs="Arial"/>
        </w:rPr>
        <w:t>Women and Masters –</w:t>
      </w:r>
      <w:r w:rsidR="00466A12">
        <w:rPr>
          <w:rFonts w:ascii="Arial" w:hAnsi="Arial" w:cs="Arial"/>
        </w:rPr>
        <w:t xml:space="preserve">9 </w:t>
      </w:r>
      <w:r w:rsidR="005465A8" w:rsidRPr="00DD21AC">
        <w:rPr>
          <w:rFonts w:ascii="Arial" w:hAnsi="Arial" w:cs="Arial"/>
        </w:rPr>
        <w:t>fixtures</w:t>
      </w:r>
      <w:r w:rsidR="00F92BCC" w:rsidRPr="00DD21AC">
        <w:rPr>
          <w:rFonts w:ascii="Arial" w:hAnsi="Arial" w:cs="Arial"/>
        </w:rPr>
        <w:t>.</w:t>
      </w:r>
      <w:r w:rsidRPr="00DD21AC">
        <w:rPr>
          <w:rFonts w:ascii="Arial" w:hAnsi="Arial" w:cs="Arial"/>
        </w:rPr>
        <w:t xml:space="preserve"> T</w:t>
      </w:r>
      <w:r w:rsidR="007906AB">
        <w:rPr>
          <w:rFonts w:ascii="Arial" w:hAnsi="Arial" w:cs="Arial"/>
        </w:rPr>
        <w:t>his includes (if required,</w:t>
      </w:r>
      <w:r w:rsidR="00F92BCC" w:rsidRPr="00DD21AC">
        <w:rPr>
          <w:rFonts w:ascii="Arial" w:hAnsi="Arial" w:cs="Arial"/>
        </w:rPr>
        <w:t xml:space="preserve"> a ‘trial match’</w:t>
      </w:r>
      <w:r w:rsidR="00F92BCC" w:rsidRPr="14A94C7B">
        <w:rPr>
          <w:rFonts w:ascii="Arial" w:hAnsi="Arial" w:cs="Arial"/>
        </w:rPr>
        <w:t>),</w:t>
      </w:r>
      <w:r w:rsidR="00F92BCC" w:rsidRPr="744948CE">
        <w:rPr>
          <w:rFonts w:ascii="Arial" w:hAnsi="Arial" w:cs="Arial"/>
        </w:rPr>
        <w:t xml:space="preserve">6 </w:t>
      </w:r>
      <w:r w:rsidR="00F92BCC" w:rsidRPr="4C3BBB11">
        <w:rPr>
          <w:rFonts w:ascii="Arial" w:hAnsi="Arial" w:cs="Arial"/>
        </w:rPr>
        <w:t>warm up</w:t>
      </w:r>
      <w:r w:rsidR="00F92BCC" w:rsidRPr="00DD21AC">
        <w:rPr>
          <w:rFonts w:ascii="Arial" w:hAnsi="Arial" w:cs="Arial"/>
        </w:rPr>
        <w:t xml:space="preserve"> </w:t>
      </w:r>
      <w:r w:rsidR="00F92BCC" w:rsidRPr="641F4FDF">
        <w:rPr>
          <w:rFonts w:ascii="Arial" w:hAnsi="Arial" w:cs="Arial"/>
        </w:rPr>
        <w:t>fixtures,</w:t>
      </w:r>
      <w:r w:rsidR="00F92BCC" w:rsidRPr="4543BA9F">
        <w:rPr>
          <w:rFonts w:ascii="Arial" w:hAnsi="Arial" w:cs="Arial"/>
        </w:rPr>
        <w:t xml:space="preserve"> </w:t>
      </w:r>
      <w:r w:rsidR="00F92BCC" w:rsidRPr="00DD21AC">
        <w:rPr>
          <w:rFonts w:ascii="Arial" w:hAnsi="Arial" w:cs="Arial"/>
        </w:rPr>
        <w:t xml:space="preserve">a </w:t>
      </w:r>
      <w:r w:rsidR="007906AB">
        <w:rPr>
          <w:rFonts w:ascii="Arial" w:hAnsi="Arial" w:cs="Arial"/>
        </w:rPr>
        <w:t>5-</w:t>
      </w:r>
      <w:r w:rsidR="00F92BCC" w:rsidRPr="00DD21AC">
        <w:rPr>
          <w:rFonts w:ascii="Arial" w:hAnsi="Arial" w:cs="Arial"/>
        </w:rPr>
        <w:t>10 day pre</w:t>
      </w:r>
      <w:r w:rsidR="00F92BCC" w:rsidRPr="194542E0">
        <w:rPr>
          <w:rFonts w:ascii="Arial" w:hAnsi="Arial" w:cs="Arial"/>
        </w:rPr>
        <w:t>-</w:t>
      </w:r>
      <w:r w:rsidR="00F92BCC" w:rsidRPr="00DD21AC">
        <w:rPr>
          <w:rFonts w:ascii="Arial" w:hAnsi="Arial" w:cs="Arial"/>
        </w:rPr>
        <w:t>IS tra</w:t>
      </w:r>
      <w:r w:rsidR="005465A8" w:rsidRPr="00DD21AC">
        <w:rPr>
          <w:rFonts w:ascii="Arial" w:hAnsi="Arial" w:cs="Arial"/>
        </w:rPr>
        <w:t xml:space="preserve">ining camp and both IS </w:t>
      </w:r>
      <w:proofErr w:type="gramStart"/>
      <w:r w:rsidR="005465A8" w:rsidRPr="00DD21AC">
        <w:rPr>
          <w:rFonts w:ascii="Arial" w:hAnsi="Arial" w:cs="Arial"/>
        </w:rPr>
        <w:t>fixtures;</w:t>
      </w:r>
      <w:proofErr w:type="gramEnd"/>
      <w:r w:rsidR="00F92BCC" w:rsidRPr="00DD21AC">
        <w:rPr>
          <w:rFonts w:ascii="Arial" w:hAnsi="Arial" w:cs="Arial"/>
        </w:rPr>
        <w:t xml:space="preserve"> </w:t>
      </w:r>
      <w:r w:rsidR="002B2CA3" w:rsidRPr="00DD21AC">
        <w:rPr>
          <w:rFonts w:ascii="Arial" w:hAnsi="Arial" w:cs="Arial"/>
        </w:rPr>
        <w:t xml:space="preserve"> </w:t>
      </w:r>
    </w:p>
    <w:p w14:paraId="4D92FBAB" w14:textId="5D4ACAAF" w:rsidR="00F92BCC" w:rsidRPr="00DD21AC" w:rsidRDefault="00F92BCC" w:rsidP="7A00A2D3">
      <w:pPr>
        <w:numPr>
          <w:ilvl w:val="2"/>
          <w:numId w:val="7"/>
        </w:numPr>
        <w:spacing w:after="0" w:line="240" w:lineRule="auto"/>
        <w:ind w:left="1440" w:hanging="22"/>
        <w:rPr>
          <w:rFonts w:ascii="Arial" w:hAnsi="Arial" w:cs="Arial"/>
        </w:rPr>
      </w:pPr>
      <w:r w:rsidRPr="00DD21AC">
        <w:rPr>
          <w:rFonts w:ascii="Arial" w:hAnsi="Arial" w:cs="Arial"/>
        </w:rPr>
        <w:t>U23 – 8</w:t>
      </w:r>
      <w:r w:rsidR="00CE5209" w:rsidRPr="00DD21AC">
        <w:rPr>
          <w:rFonts w:ascii="Arial" w:hAnsi="Arial" w:cs="Arial"/>
        </w:rPr>
        <w:t xml:space="preserve"> </w:t>
      </w:r>
      <w:r w:rsidR="005465A8" w:rsidRPr="00DD21AC">
        <w:rPr>
          <w:rFonts w:ascii="Arial" w:hAnsi="Arial" w:cs="Arial"/>
        </w:rPr>
        <w:t>fixtures</w:t>
      </w:r>
      <w:r w:rsidR="00CE5209" w:rsidRPr="00DD21AC">
        <w:rPr>
          <w:rFonts w:ascii="Arial" w:hAnsi="Arial" w:cs="Arial"/>
        </w:rPr>
        <w:t>. T</w:t>
      </w:r>
      <w:r w:rsidR="005465A8" w:rsidRPr="00DD21AC">
        <w:rPr>
          <w:rFonts w:ascii="Arial" w:hAnsi="Arial" w:cs="Arial"/>
        </w:rPr>
        <w:t>his includes (</w:t>
      </w:r>
      <w:r w:rsidRPr="00DD21AC">
        <w:rPr>
          <w:rFonts w:ascii="Arial" w:hAnsi="Arial" w:cs="Arial"/>
        </w:rPr>
        <w:t xml:space="preserve">a trial </w:t>
      </w:r>
      <w:r w:rsidRPr="7ABF1617">
        <w:rPr>
          <w:rFonts w:ascii="Arial" w:hAnsi="Arial" w:cs="Arial"/>
        </w:rPr>
        <w:t>match</w:t>
      </w:r>
      <w:r w:rsidRPr="00DD21AC">
        <w:rPr>
          <w:rFonts w:ascii="Arial" w:hAnsi="Arial" w:cs="Arial"/>
        </w:rPr>
        <w:t xml:space="preserve">) 5 </w:t>
      </w:r>
      <w:bookmarkStart w:id="0" w:name="_Int_bH8by4EH"/>
      <w:proofErr w:type="gramStart"/>
      <w:r w:rsidRPr="00DD21AC">
        <w:rPr>
          <w:rFonts w:ascii="Arial" w:hAnsi="Arial" w:cs="Arial"/>
        </w:rPr>
        <w:t>warm</w:t>
      </w:r>
      <w:bookmarkEnd w:id="0"/>
      <w:proofErr w:type="gramEnd"/>
      <w:r w:rsidRPr="00DD21AC">
        <w:rPr>
          <w:rFonts w:ascii="Arial" w:hAnsi="Arial" w:cs="Arial"/>
        </w:rPr>
        <w:t xml:space="preserve"> up and both IS fixtures. </w:t>
      </w:r>
      <w:r w:rsidR="00D6611A" w:rsidRPr="00DD21AC">
        <w:rPr>
          <w:rFonts w:ascii="Arial" w:hAnsi="Arial" w:cs="Arial"/>
        </w:rPr>
        <w:t>U23 IS fixtures take priori</w:t>
      </w:r>
      <w:r w:rsidR="005465A8" w:rsidRPr="00DD21AC">
        <w:rPr>
          <w:rFonts w:ascii="Arial" w:hAnsi="Arial" w:cs="Arial"/>
        </w:rPr>
        <w:t>ty over Community on Wednesdays; and</w:t>
      </w:r>
    </w:p>
    <w:p w14:paraId="1ACD9DCC" w14:textId="32BCE4C9" w:rsidR="002B2CA3" w:rsidRDefault="00F92BCC" w:rsidP="7AAA1202">
      <w:pPr>
        <w:numPr>
          <w:ilvl w:val="2"/>
          <w:numId w:val="7"/>
        </w:numPr>
        <w:spacing w:after="0" w:line="240" w:lineRule="auto"/>
        <w:ind w:left="2160" w:hanging="742"/>
        <w:rPr>
          <w:rFonts w:ascii="Arial" w:hAnsi="Arial" w:cs="Arial"/>
        </w:rPr>
      </w:pPr>
      <w:r w:rsidRPr="00DD21AC">
        <w:rPr>
          <w:rFonts w:ascii="Arial" w:hAnsi="Arial" w:cs="Arial"/>
        </w:rPr>
        <w:t xml:space="preserve">7s </w:t>
      </w:r>
      <w:r w:rsidR="005465A8" w:rsidRPr="00DD21AC">
        <w:rPr>
          <w:rFonts w:ascii="Arial" w:hAnsi="Arial" w:cs="Arial"/>
        </w:rPr>
        <w:t>(</w:t>
      </w:r>
      <w:r w:rsidRPr="00DD21AC">
        <w:rPr>
          <w:rFonts w:ascii="Arial" w:hAnsi="Arial" w:cs="Arial"/>
        </w:rPr>
        <w:t>Apr – Sep annually</w:t>
      </w:r>
      <w:r w:rsidR="005465A8" w:rsidRPr="00DD21AC">
        <w:rPr>
          <w:rFonts w:ascii="Arial" w:hAnsi="Arial" w:cs="Arial"/>
        </w:rPr>
        <w:t>)</w:t>
      </w:r>
      <w:r w:rsidRPr="00DD21AC">
        <w:rPr>
          <w:rFonts w:ascii="Arial" w:hAnsi="Arial" w:cs="Arial"/>
        </w:rPr>
        <w:t xml:space="preserve"> – </w:t>
      </w:r>
      <w:r w:rsidR="00760999" w:rsidRPr="00DD21AC">
        <w:rPr>
          <w:rFonts w:ascii="Arial" w:hAnsi="Arial" w:cs="Arial"/>
        </w:rPr>
        <w:t>7</w:t>
      </w:r>
      <w:r w:rsidR="005465A8" w:rsidRPr="00DD21AC">
        <w:rPr>
          <w:rFonts w:ascii="Arial" w:hAnsi="Arial" w:cs="Arial"/>
        </w:rPr>
        <w:t xml:space="preserve"> fixtures</w:t>
      </w:r>
      <w:r w:rsidRPr="00DD21AC">
        <w:rPr>
          <w:rFonts w:ascii="Arial" w:hAnsi="Arial" w:cs="Arial"/>
        </w:rPr>
        <w:t>. This includes (if funded</w:t>
      </w:r>
      <w:r w:rsidR="00760999" w:rsidRPr="00DD21AC">
        <w:rPr>
          <w:rFonts w:ascii="Arial" w:hAnsi="Arial" w:cs="Arial"/>
        </w:rPr>
        <w:t>)</w:t>
      </w:r>
      <w:r w:rsidRPr="00DD21AC">
        <w:rPr>
          <w:rFonts w:ascii="Arial" w:hAnsi="Arial" w:cs="Arial"/>
        </w:rPr>
        <w:t xml:space="preserve"> a</w:t>
      </w:r>
      <w:r w:rsidR="00760999" w:rsidRPr="00DD21AC">
        <w:rPr>
          <w:rFonts w:ascii="Arial" w:hAnsi="Arial" w:cs="Arial"/>
        </w:rPr>
        <w:t>n</w:t>
      </w:r>
      <w:r w:rsidRPr="00DD21AC">
        <w:rPr>
          <w:rFonts w:ascii="Arial" w:hAnsi="Arial" w:cs="Arial"/>
        </w:rPr>
        <w:t xml:space="preserve"> OSV</w:t>
      </w:r>
      <w:r w:rsidR="00760999" w:rsidRPr="00DD21AC">
        <w:rPr>
          <w:rFonts w:ascii="Arial" w:hAnsi="Arial" w:cs="Arial"/>
        </w:rPr>
        <w:t>.</w:t>
      </w:r>
    </w:p>
    <w:p w14:paraId="13A1CDB0" w14:textId="77777777" w:rsidR="0026599C" w:rsidRPr="00DD21AC" w:rsidRDefault="0026599C" w:rsidP="0026599C">
      <w:pPr>
        <w:spacing w:after="0" w:line="240" w:lineRule="auto"/>
        <w:rPr>
          <w:rFonts w:ascii="Arial" w:hAnsi="Arial" w:cs="Arial"/>
        </w:rPr>
      </w:pPr>
    </w:p>
    <w:p w14:paraId="659A3250" w14:textId="2F82027E" w:rsidR="006F5BC8" w:rsidRPr="00753F7E" w:rsidRDefault="005508EA" w:rsidP="006F5BC8">
      <w:pPr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</w:rPr>
      </w:pPr>
      <w:r w:rsidRPr="00753F7E">
        <w:rPr>
          <w:rFonts w:ascii="Arial" w:hAnsi="Arial" w:cs="Arial"/>
        </w:rPr>
        <w:t xml:space="preserve">Representative teams should aim to play </w:t>
      </w:r>
      <w:r w:rsidR="00413D6F">
        <w:rPr>
          <w:rFonts w:ascii="Arial" w:hAnsi="Arial" w:cs="Arial"/>
        </w:rPr>
        <w:t>4</w:t>
      </w:r>
      <w:r w:rsidRPr="00753F7E">
        <w:rPr>
          <w:rFonts w:ascii="Arial" w:hAnsi="Arial" w:cs="Arial"/>
        </w:rPr>
        <w:t>0% of their allocated fixtures in Aldershot. Away fixtures should be co</w:t>
      </w:r>
      <w:r w:rsidR="005465A8" w:rsidRPr="00753F7E">
        <w:rPr>
          <w:rFonts w:ascii="Arial" w:hAnsi="Arial" w:cs="Arial"/>
        </w:rPr>
        <w:t>-</w:t>
      </w:r>
      <w:r w:rsidRPr="00753F7E">
        <w:rPr>
          <w:rFonts w:ascii="Arial" w:hAnsi="Arial" w:cs="Arial"/>
        </w:rPr>
        <w:t xml:space="preserve">ordinated between </w:t>
      </w:r>
      <w:proofErr w:type="spellStart"/>
      <w:r w:rsidRPr="00753F7E">
        <w:rPr>
          <w:rFonts w:ascii="Arial" w:hAnsi="Arial" w:cs="Arial"/>
        </w:rPr>
        <w:t>DoR’s</w:t>
      </w:r>
      <w:proofErr w:type="spellEnd"/>
      <w:r w:rsidRPr="00753F7E">
        <w:rPr>
          <w:rFonts w:ascii="Arial" w:hAnsi="Arial" w:cs="Arial"/>
        </w:rPr>
        <w:t xml:space="preserve"> to allow games </w:t>
      </w:r>
      <w:r w:rsidR="005465A8" w:rsidRPr="00753F7E">
        <w:rPr>
          <w:rFonts w:ascii="Arial" w:hAnsi="Arial" w:cs="Arial"/>
        </w:rPr>
        <w:t xml:space="preserve">to be played </w:t>
      </w:r>
      <w:r w:rsidR="002906A7" w:rsidRPr="00753F7E">
        <w:rPr>
          <w:rFonts w:ascii="Arial" w:eastAsia="Times New Roman" w:hAnsi="Arial" w:cs="Arial"/>
          <w:iCs/>
        </w:rPr>
        <w:t>across the four Nations’</w:t>
      </w:r>
      <w:r w:rsidR="002906A7" w:rsidRPr="00753F7E">
        <w:rPr>
          <w:rFonts w:eastAsia="Times New Roman"/>
          <w:i/>
          <w:iCs/>
        </w:rPr>
        <w:t xml:space="preserve"> </w:t>
      </w:r>
      <w:r w:rsidRPr="00753F7E">
        <w:rPr>
          <w:rFonts w:ascii="Arial" w:hAnsi="Arial" w:cs="Arial"/>
        </w:rPr>
        <w:t>etc</w:t>
      </w:r>
      <w:r w:rsidR="00E43FFF" w:rsidRPr="00753F7E">
        <w:rPr>
          <w:rFonts w:ascii="Arial" w:hAnsi="Arial" w:cs="Arial"/>
        </w:rPr>
        <w:t xml:space="preserve"> subject to financial viability</w:t>
      </w:r>
      <w:r w:rsidRPr="00753F7E">
        <w:rPr>
          <w:rFonts w:ascii="Arial" w:hAnsi="Arial" w:cs="Arial"/>
        </w:rPr>
        <w:t xml:space="preserve">. </w:t>
      </w:r>
      <w:r w:rsidR="0088712E" w:rsidRPr="00753F7E">
        <w:rPr>
          <w:rFonts w:ascii="Arial" w:hAnsi="Arial" w:cs="Arial"/>
        </w:rPr>
        <w:t>Men’s</w:t>
      </w:r>
      <w:r w:rsidRPr="00753F7E">
        <w:rPr>
          <w:rFonts w:ascii="Arial" w:hAnsi="Arial" w:cs="Arial"/>
        </w:rPr>
        <w:t xml:space="preserve"> and </w:t>
      </w:r>
      <w:r w:rsidR="0088712E" w:rsidRPr="00753F7E">
        <w:rPr>
          <w:rFonts w:ascii="Arial" w:hAnsi="Arial" w:cs="Arial"/>
        </w:rPr>
        <w:t>Women’s</w:t>
      </w:r>
      <w:r w:rsidRPr="00753F7E">
        <w:rPr>
          <w:rFonts w:ascii="Arial" w:hAnsi="Arial" w:cs="Arial"/>
        </w:rPr>
        <w:t xml:space="preserve"> matches </w:t>
      </w:r>
      <w:r w:rsidR="002906A7" w:rsidRPr="00753F7E">
        <w:rPr>
          <w:rFonts w:ascii="Arial" w:hAnsi="Arial" w:cs="Arial"/>
        </w:rPr>
        <w:t xml:space="preserve">should where possible be aligned so that both </w:t>
      </w:r>
      <w:r w:rsidR="002906A7" w:rsidRPr="69000A62">
        <w:rPr>
          <w:rFonts w:ascii="Arial" w:hAnsi="Arial" w:cs="Arial"/>
        </w:rPr>
        <w:t>teams</w:t>
      </w:r>
      <w:r w:rsidR="002906A7" w:rsidRPr="00753F7E">
        <w:rPr>
          <w:rFonts w:ascii="Arial" w:hAnsi="Arial" w:cs="Arial"/>
        </w:rPr>
        <w:t xml:space="preserve"> can play in the same location on the same day.</w:t>
      </w:r>
    </w:p>
    <w:p w14:paraId="67890A31" w14:textId="77777777" w:rsidR="006F5BC8" w:rsidRPr="006F5BC8" w:rsidRDefault="006F5BC8" w:rsidP="006F5BC8">
      <w:pPr>
        <w:spacing w:after="0" w:line="240" w:lineRule="auto"/>
        <w:rPr>
          <w:rFonts w:ascii="Arial" w:hAnsi="Arial" w:cs="Arial"/>
        </w:rPr>
      </w:pPr>
    </w:p>
    <w:p w14:paraId="0F58DF8F" w14:textId="1C9337E9" w:rsidR="006F5BC8" w:rsidRPr="006F5BC8" w:rsidRDefault="00E946D1" w:rsidP="006F5BC8">
      <w:pPr>
        <w:numPr>
          <w:ilvl w:val="0"/>
          <w:numId w:val="7"/>
        </w:numPr>
        <w:spacing w:after="0"/>
        <w:ind w:left="0" w:firstLine="0"/>
        <w:rPr>
          <w:rFonts w:ascii="Arial" w:hAnsi="Arial" w:cs="Arial"/>
        </w:rPr>
      </w:pPr>
      <w:r w:rsidRPr="00DD21AC">
        <w:rPr>
          <w:rFonts w:ascii="Arial" w:hAnsi="Arial" w:cs="Arial"/>
        </w:rPr>
        <w:lastRenderedPageBreak/>
        <w:t>The following table details the AR</w:t>
      </w:r>
      <w:r w:rsidR="005508EA" w:rsidRPr="00DD21AC">
        <w:rPr>
          <w:rFonts w:ascii="Arial" w:hAnsi="Arial" w:cs="Arial"/>
        </w:rPr>
        <w:t xml:space="preserve">U playing departments </w:t>
      </w:r>
      <w:r w:rsidR="006040CE" w:rsidRPr="00DD21AC">
        <w:rPr>
          <w:rFonts w:ascii="Arial" w:hAnsi="Arial" w:cs="Arial"/>
        </w:rPr>
        <w:t>maximum</w:t>
      </w:r>
      <w:r w:rsidR="000B31D1">
        <w:rPr>
          <w:rFonts w:ascii="Arial" w:hAnsi="Arial" w:cs="Arial"/>
        </w:rPr>
        <w:t>, participation;</w:t>
      </w:r>
      <w:r w:rsidR="006040CE" w:rsidRPr="00DD21AC">
        <w:rPr>
          <w:rFonts w:ascii="Arial" w:hAnsi="Arial" w:cs="Arial"/>
        </w:rPr>
        <w:t xml:space="preserve"> fixtures (at public expense) and eligibility</w:t>
      </w:r>
      <w:r w:rsidR="000A0813" w:rsidRPr="00DD21AC">
        <w:rPr>
          <w:rFonts w:ascii="Arial" w:hAnsi="Arial" w:cs="Arial"/>
        </w:rPr>
        <w:t xml:space="preserve"> to tour: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232"/>
        <w:gridCol w:w="1399"/>
        <w:gridCol w:w="1399"/>
        <w:gridCol w:w="1071"/>
        <w:gridCol w:w="1072"/>
        <w:gridCol w:w="1649"/>
        <w:gridCol w:w="1218"/>
        <w:gridCol w:w="1431"/>
        <w:gridCol w:w="4394"/>
      </w:tblGrid>
      <w:tr w:rsidR="00697296" w:rsidRPr="00DD21AC" w14:paraId="04373E30" w14:textId="77777777" w:rsidTr="261874C6">
        <w:tc>
          <w:tcPr>
            <w:tcW w:w="870" w:type="dxa"/>
            <w:shd w:val="clear" w:color="auto" w:fill="DDD9C3"/>
          </w:tcPr>
          <w:p w14:paraId="5F8517B0" w14:textId="77777777" w:rsidR="008210F0" w:rsidRPr="00DD21AC" w:rsidRDefault="008210F0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Ser</w:t>
            </w:r>
          </w:p>
        </w:tc>
        <w:tc>
          <w:tcPr>
            <w:tcW w:w="1232" w:type="dxa"/>
            <w:shd w:val="clear" w:color="auto" w:fill="DDD9C3"/>
          </w:tcPr>
          <w:p w14:paraId="0FEA9142" w14:textId="77777777" w:rsidR="008210F0" w:rsidRPr="00DD21AC" w:rsidRDefault="008210F0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Team</w:t>
            </w:r>
          </w:p>
        </w:tc>
        <w:tc>
          <w:tcPr>
            <w:tcW w:w="1399" w:type="dxa"/>
            <w:shd w:val="clear" w:color="auto" w:fill="DDD9C3"/>
          </w:tcPr>
          <w:p w14:paraId="37298734" w14:textId="6488A247" w:rsidR="008210F0" w:rsidRPr="00A00B69" w:rsidRDefault="00A00B69" w:rsidP="006D0F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B69">
              <w:rPr>
                <w:rFonts w:ascii="Arial" w:hAnsi="Arial" w:cs="Arial"/>
                <w:sz w:val="18"/>
                <w:szCs w:val="18"/>
              </w:rPr>
              <w:t>Playing / Non</w:t>
            </w:r>
            <w:r w:rsidR="498FAE3D" w:rsidRPr="398260A4">
              <w:rPr>
                <w:rFonts w:ascii="Arial" w:hAnsi="Arial" w:cs="Arial"/>
                <w:sz w:val="18"/>
                <w:szCs w:val="18"/>
              </w:rPr>
              <w:t>-</w:t>
            </w:r>
            <w:r w:rsidRPr="00A00B69">
              <w:rPr>
                <w:rFonts w:ascii="Arial" w:hAnsi="Arial" w:cs="Arial"/>
                <w:sz w:val="18"/>
                <w:szCs w:val="18"/>
              </w:rPr>
              <w:t>Playing Numbers</w:t>
            </w:r>
          </w:p>
        </w:tc>
        <w:tc>
          <w:tcPr>
            <w:tcW w:w="1399" w:type="dxa"/>
            <w:shd w:val="clear" w:color="auto" w:fill="DDD9C3"/>
          </w:tcPr>
          <w:p w14:paraId="34D34E0B" w14:textId="6415E61B" w:rsidR="008210F0" w:rsidRPr="00DD21AC" w:rsidRDefault="008210F0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Fixtures</w:t>
            </w:r>
            <w:r w:rsidRPr="00DD21AC">
              <w:rPr>
                <w:rStyle w:val="FootnoteReference"/>
                <w:rFonts w:ascii="Arial" w:hAnsi="Arial" w:cs="Arial"/>
              </w:rPr>
              <w:footnoteReference w:id="2"/>
            </w:r>
          </w:p>
          <w:p w14:paraId="2965D743" w14:textId="77777777" w:rsidR="008210F0" w:rsidRPr="00DD21AC" w:rsidRDefault="008210F0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DDD9C3"/>
          </w:tcPr>
          <w:p w14:paraId="42FFE1F5" w14:textId="77777777" w:rsidR="008210F0" w:rsidRPr="00DD21AC" w:rsidRDefault="008210F0" w:rsidP="00967A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Budget</w:t>
            </w:r>
            <w:r w:rsidRPr="00DD21AC">
              <w:rPr>
                <w:rStyle w:val="FootnoteReference"/>
                <w:rFonts w:ascii="Arial" w:hAnsi="Arial" w:cs="Arial"/>
              </w:rPr>
              <w:footnoteReference w:id="3"/>
            </w:r>
            <w:r w:rsidRPr="00DD21AC">
              <w:rPr>
                <w:rFonts w:ascii="Arial" w:hAnsi="Arial" w:cs="Arial"/>
              </w:rPr>
              <w:t xml:space="preserve"> </w:t>
            </w:r>
          </w:p>
          <w:p w14:paraId="6D8C4BD1" w14:textId="77777777" w:rsidR="008210F0" w:rsidRPr="00DD21AC" w:rsidRDefault="008210F0" w:rsidP="00967A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(£K)</w:t>
            </w:r>
          </w:p>
        </w:tc>
        <w:tc>
          <w:tcPr>
            <w:tcW w:w="1072" w:type="dxa"/>
            <w:shd w:val="clear" w:color="auto" w:fill="DDD9C3"/>
          </w:tcPr>
          <w:p w14:paraId="3A458CA2" w14:textId="77777777" w:rsidR="008210F0" w:rsidRPr="00DD21AC" w:rsidRDefault="008210F0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Training Camp</w:t>
            </w:r>
            <w:r w:rsidRPr="00DD21AC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1649" w:type="dxa"/>
            <w:shd w:val="clear" w:color="auto" w:fill="DDD9C3"/>
          </w:tcPr>
          <w:p w14:paraId="1930F87F" w14:textId="77777777" w:rsidR="008210F0" w:rsidRPr="00DD21AC" w:rsidRDefault="008210F0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 xml:space="preserve">ARU Funded Tour </w:t>
            </w:r>
            <w:r w:rsidRPr="00DD21AC">
              <w:rPr>
                <w:rStyle w:val="FootnoteReference"/>
                <w:rFonts w:ascii="Arial" w:hAnsi="Arial" w:cs="Arial"/>
              </w:rPr>
              <w:footnoteReference w:id="5"/>
            </w:r>
          </w:p>
        </w:tc>
        <w:tc>
          <w:tcPr>
            <w:tcW w:w="1218" w:type="dxa"/>
            <w:shd w:val="clear" w:color="auto" w:fill="DDD9C3"/>
          </w:tcPr>
          <w:p w14:paraId="06B9EB38" w14:textId="77777777" w:rsidR="008210F0" w:rsidRPr="00DD21AC" w:rsidRDefault="008210F0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D21AC">
              <w:rPr>
                <w:rFonts w:ascii="Arial" w:hAnsi="Arial" w:cs="Arial"/>
              </w:rPr>
              <w:t>Accn</w:t>
            </w:r>
            <w:proofErr w:type="spellEnd"/>
            <w:r w:rsidRPr="00DD21AC">
              <w:rPr>
                <w:rStyle w:val="FootnoteReference"/>
                <w:rFonts w:ascii="Arial" w:hAnsi="Arial" w:cs="Arial"/>
              </w:rPr>
              <w:footnoteReference w:id="6"/>
            </w:r>
          </w:p>
        </w:tc>
        <w:tc>
          <w:tcPr>
            <w:tcW w:w="1431" w:type="dxa"/>
            <w:shd w:val="clear" w:color="auto" w:fill="DDD9C3"/>
          </w:tcPr>
          <w:p w14:paraId="72BDE7B3" w14:textId="2B5D2D21" w:rsidR="008210F0" w:rsidRPr="00430891" w:rsidRDefault="008210F0" w:rsidP="004308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1AC">
              <w:rPr>
                <w:rFonts w:ascii="Arial" w:hAnsi="Arial" w:cs="Arial"/>
                <w:sz w:val="18"/>
                <w:szCs w:val="18"/>
              </w:rPr>
              <w:t>Days in camp per Fixture</w:t>
            </w:r>
          </w:p>
        </w:tc>
        <w:tc>
          <w:tcPr>
            <w:tcW w:w="4394" w:type="dxa"/>
            <w:shd w:val="clear" w:color="auto" w:fill="DDD9C3"/>
          </w:tcPr>
          <w:p w14:paraId="7A6EB589" w14:textId="77777777" w:rsidR="008210F0" w:rsidRPr="00DD21AC" w:rsidRDefault="008210F0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Remarks</w:t>
            </w:r>
          </w:p>
        </w:tc>
      </w:tr>
      <w:tr w:rsidR="00985AB4" w:rsidRPr="00DD21AC" w14:paraId="0BAB4F5B" w14:textId="77777777" w:rsidTr="00C415F0">
        <w:tc>
          <w:tcPr>
            <w:tcW w:w="870" w:type="dxa"/>
          </w:tcPr>
          <w:p w14:paraId="56595CD3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14:paraId="3D4AFCFE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399" w:type="dxa"/>
          </w:tcPr>
          <w:p w14:paraId="706F1687" w14:textId="36062761" w:rsidR="008210F0" w:rsidRPr="00753F7E" w:rsidRDefault="00B376E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+ 10</w:t>
            </w:r>
          </w:p>
        </w:tc>
        <w:tc>
          <w:tcPr>
            <w:tcW w:w="1399" w:type="dxa"/>
          </w:tcPr>
          <w:p w14:paraId="00D87D29" w14:textId="42F5F2C4" w:rsidR="008210F0" w:rsidRPr="00753F7E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0C463C0E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7A945D" w14:textId="1E541281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2487D11">
              <w:rPr>
                <w:rFonts w:ascii="Arial" w:hAnsi="Arial" w:cs="Arial"/>
                <w:sz w:val="20"/>
                <w:szCs w:val="20"/>
              </w:rPr>
              <w:t>£77.</w:t>
            </w:r>
            <w:r w:rsidRPr="4300A61E">
              <w:rPr>
                <w:rFonts w:ascii="Arial" w:hAnsi="Arial" w:cs="Arial"/>
                <w:sz w:val="20"/>
                <w:szCs w:val="20"/>
              </w:rPr>
              <w:t>7k</w:t>
            </w:r>
          </w:p>
        </w:tc>
        <w:tc>
          <w:tcPr>
            <w:tcW w:w="1072" w:type="dxa"/>
          </w:tcPr>
          <w:p w14:paraId="629AB0BA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14:paraId="637AB83E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5FB1935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D02FBAB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67D9AE0" w14:textId="52D20049" w:rsidR="008210F0" w:rsidRPr="00630051" w:rsidRDefault="008210F0" w:rsidP="00D661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0051">
              <w:rPr>
                <w:rFonts w:ascii="Arial" w:hAnsi="Arial" w:cs="Arial"/>
                <w:sz w:val="18"/>
                <w:szCs w:val="18"/>
              </w:rPr>
              <w:t xml:space="preserve">This includes if required a </w:t>
            </w:r>
            <w:r w:rsidR="5B83A23C" w:rsidRPr="7CAA8C79">
              <w:rPr>
                <w:rFonts w:ascii="Arial" w:hAnsi="Arial" w:cs="Arial"/>
                <w:sz w:val="18"/>
                <w:szCs w:val="18"/>
              </w:rPr>
              <w:t>community</w:t>
            </w:r>
            <w:r w:rsidRPr="00630051">
              <w:rPr>
                <w:rFonts w:ascii="Arial" w:hAnsi="Arial" w:cs="Arial"/>
                <w:sz w:val="18"/>
                <w:szCs w:val="18"/>
              </w:rPr>
              <w:t xml:space="preserve"> festival day, </w:t>
            </w:r>
            <w:r w:rsidR="000E51BE">
              <w:rPr>
                <w:rFonts w:ascii="Arial" w:hAnsi="Arial" w:cs="Arial"/>
                <w:sz w:val="18"/>
                <w:szCs w:val="18"/>
              </w:rPr>
              <w:t>six</w:t>
            </w:r>
            <w:r w:rsidRPr="00630051">
              <w:rPr>
                <w:rFonts w:ascii="Arial" w:hAnsi="Arial" w:cs="Arial"/>
                <w:sz w:val="18"/>
                <w:szCs w:val="18"/>
              </w:rPr>
              <w:t xml:space="preserve"> league days a semi and finals day. </w:t>
            </w:r>
          </w:p>
        </w:tc>
      </w:tr>
      <w:tr w:rsidR="00934ED6" w:rsidRPr="00DD21AC" w14:paraId="686F6C51" w14:textId="77777777" w:rsidTr="00C415F0">
        <w:tc>
          <w:tcPr>
            <w:tcW w:w="870" w:type="dxa"/>
          </w:tcPr>
          <w:p w14:paraId="46101094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14:paraId="7158D248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Corps</w:t>
            </w:r>
          </w:p>
        </w:tc>
        <w:tc>
          <w:tcPr>
            <w:tcW w:w="1399" w:type="dxa"/>
          </w:tcPr>
          <w:p w14:paraId="2C6622D2" w14:textId="6106D80B" w:rsidR="008210F0" w:rsidRPr="00753F7E" w:rsidRDefault="00A00B69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+ 10</w:t>
            </w:r>
          </w:p>
        </w:tc>
        <w:tc>
          <w:tcPr>
            <w:tcW w:w="1399" w:type="dxa"/>
          </w:tcPr>
          <w:p w14:paraId="77881029" w14:textId="5244BCF4" w:rsidR="008210F0" w:rsidRPr="00753F7E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7E">
              <w:rPr>
                <w:rFonts w:ascii="Arial" w:hAnsi="Arial" w:cs="Arial"/>
                <w:sz w:val="20"/>
                <w:szCs w:val="20"/>
              </w:rPr>
              <w:t>7</w:t>
            </w:r>
            <w:r w:rsidR="000C3CF0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071" w:type="dxa"/>
            <w:vMerge/>
            <w:shd w:val="clear" w:color="auto" w:fill="auto"/>
          </w:tcPr>
          <w:p w14:paraId="39E0E669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3F42B2E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9293FCE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E818F3C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14:paraId="5B60E2FC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2EF0D6DB" w14:textId="3E9C6460" w:rsidR="008210F0" w:rsidRPr="00630051" w:rsidRDefault="008210F0" w:rsidP="00D661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0051">
              <w:rPr>
                <w:rFonts w:ascii="Arial" w:hAnsi="Arial" w:cs="Arial"/>
                <w:sz w:val="18"/>
                <w:szCs w:val="18"/>
              </w:rPr>
              <w:t>This includes a Corps Festival</w:t>
            </w:r>
            <w:r w:rsidR="5B83A23C" w:rsidRPr="14D31837">
              <w:rPr>
                <w:rFonts w:ascii="Arial" w:hAnsi="Arial" w:cs="Arial"/>
                <w:sz w:val="18"/>
                <w:szCs w:val="18"/>
              </w:rPr>
              <w:t>;</w:t>
            </w:r>
            <w:r w:rsidRPr="006300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six</w:t>
            </w:r>
            <w:r w:rsidRPr="00630051">
              <w:rPr>
                <w:rFonts w:ascii="Arial" w:hAnsi="Arial" w:cs="Arial"/>
                <w:sz w:val="18"/>
                <w:szCs w:val="18"/>
              </w:rPr>
              <w:t xml:space="preserve"> Corps league play on dates and a finals day.</w:t>
            </w:r>
          </w:p>
        </w:tc>
      </w:tr>
      <w:tr w:rsidR="00697296" w:rsidRPr="00DD21AC" w14:paraId="6AC3E6E9" w14:textId="77777777" w:rsidTr="00C415F0">
        <w:tc>
          <w:tcPr>
            <w:tcW w:w="870" w:type="dxa"/>
          </w:tcPr>
          <w:p w14:paraId="159B5AB0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14:paraId="03F2BDB3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</w:t>
            </w:r>
            <w:r w:rsidRPr="00DD21AC">
              <w:rPr>
                <w:rFonts w:ascii="Arial" w:hAnsi="Arial" w:cs="Arial"/>
                <w:sz w:val="20"/>
                <w:szCs w:val="20"/>
              </w:rPr>
              <w:t xml:space="preserve"> XV</w:t>
            </w:r>
          </w:p>
        </w:tc>
        <w:tc>
          <w:tcPr>
            <w:tcW w:w="1399" w:type="dxa"/>
          </w:tcPr>
          <w:p w14:paraId="4C35312A" w14:textId="53E5D329" w:rsidR="008210F0" w:rsidRPr="00604F30" w:rsidRDefault="00A00B69" w:rsidP="00D661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F30">
              <w:rPr>
                <w:rFonts w:ascii="Arial" w:hAnsi="Arial" w:cs="Arial"/>
                <w:bCs/>
                <w:sz w:val="20"/>
                <w:szCs w:val="20"/>
              </w:rPr>
              <w:t>30 + 10</w:t>
            </w:r>
          </w:p>
        </w:tc>
        <w:tc>
          <w:tcPr>
            <w:tcW w:w="1399" w:type="dxa"/>
          </w:tcPr>
          <w:p w14:paraId="12643281" w14:textId="7F2BBE6C" w:rsidR="008210F0" w:rsidRPr="00604F30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F3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071" w:type="dxa"/>
            <w:shd w:val="clear" w:color="auto" w:fill="auto"/>
          </w:tcPr>
          <w:p w14:paraId="28F2345D" w14:textId="4E6F7569" w:rsidR="008210F0" w:rsidRPr="00466A12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7A9FABC">
              <w:rPr>
                <w:rFonts w:ascii="Arial" w:hAnsi="Arial" w:cs="Arial"/>
                <w:sz w:val="20"/>
                <w:szCs w:val="20"/>
              </w:rPr>
              <w:t>£72k</w:t>
            </w:r>
          </w:p>
        </w:tc>
        <w:tc>
          <w:tcPr>
            <w:tcW w:w="1072" w:type="dxa"/>
          </w:tcPr>
          <w:p w14:paraId="6ECFA1C8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49" w:type="dxa"/>
          </w:tcPr>
          <w:p w14:paraId="2E7E793B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18" w:type="dxa"/>
          </w:tcPr>
          <w:p w14:paraId="44FDA4C6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Mil</w:t>
            </w:r>
          </w:p>
        </w:tc>
        <w:tc>
          <w:tcPr>
            <w:tcW w:w="1431" w:type="dxa"/>
          </w:tcPr>
          <w:p w14:paraId="51A71FB0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13778206" w14:textId="0AAF8C3A" w:rsidR="008210F0" w:rsidRPr="00630051" w:rsidRDefault="008210F0" w:rsidP="00D661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Trg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Camp held in military establishment at </w:t>
            </w:r>
            <w:r w:rsidR="5B83A23C" w:rsidRPr="379B4060">
              <w:rPr>
                <w:rFonts w:ascii="Arial" w:hAnsi="Arial" w:cs="Arial"/>
                <w:sz w:val="18"/>
                <w:szCs w:val="18"/>
              </w:rPr>
              <w:t>zero</w:t>
            </w:r>
            <w:r w:rsidRPr="00630051">
              <w:rPr>
                <w:rFonts w:ascii="Arial" w:hAnsi="Arial" w:cs="Arial"/>
                <w:sz w:val="18"/>
                <w:szCs w:val="18"/>
              </w:rPr>
              <w:t xml:space="preserve"> cost for mil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. Tour as approved by ARU Board. </w:t>
            </w:r>
          </w:p>
        </w:tc>
      </w:tr>
      <w:tr w:rsidR="00697296" w:rsidRPr="00DD21AC" w14:paraId="3D49472B" w14:textId="77777777" w:rsidTr="00C415F0">
        <w:tc>
          <w:tcPr>
            <w:tcW w:w="870" w:type="dxa"/>
          </w:tcPr>
          <w:p w14:paraId="787E6477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14:paraId="23E111AF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Women’s XV</w:t>
            </w:r>
          </w:p>
        </w:tc>
        <w:tc>
          <w:tcPr>
            <w:tcW w:w="1399" w:type="dxa"/>
          </w:tcPr>
          <w:p w14:paraId="330DAB96" w14:textId="7DEB5BD8" w:rsidR="008210F0" w:rsidRPr="00604F30" w:rsidRDefault="00A00B69" w:rsidP="00D661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F30">
              <w:rPr>
                <w:rFonts w:ascii="Arial" w:hAnsi="Arial" w:cs="Arial"/>
                <w:bCs/>
                <w:sz w:val="20"/>
                <w:szCs w:val="20"/>
              </w:rPr>
              <w:t xml:space="preserve">30 + </w:t>
            </w:r>
            <w:r w:rsidR="007464CF" w:rsidRPr="00604F3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399" w:type="dxa"/>
          </w:tcPr>
          <w:p w14:paraId="0C702225" w14:textId="50D5BF03" w:rsidR="008210F0" w:rsidRPr="00604F30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F3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071" w:type="dxa"/>
            <w:shd w:val="clear" w:color="auto" w:fill="auto"/>
          </w:tcPr>
          <w:p w14:paraId="44DAA86D" w14:textId="3EA7EE76" w:rsidR="008210F0" w:rsidRPr="00466A12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7A9FABC">
              <w:rPr>
                <w:rFonts w:ascii="Arial" w:hAnsi="Arial" w:cs="Arial"/>
                <w:sz w:val="20"/>
                <w:szCs w:val="20"/>
              </w:rPr>
              <w:t>£72k</w:t>
            </w:r>
          </w:p>
        </w:tc>
        <w:tc>
          <w:tcPr>
            <w:tcW w:w="1072" w:type="dxa"/>
          </w:tcPr>
          <w:p w14:paraId="137C4647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49" w:type="dxa"/>
          </w:tcPr>
          <w:p w14:paraId="21A0BBC1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18" w:type="dxa"/>
          </w:tcPr>
          <w:p w14:paraId="2E4FAA2A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Mil</w:t>
            </w:r>
          </w:p>
        </w:tc>
        <w:tc>
          <w:tcPr>
            <w:tcW w:w="1431" w:type="dxa"/>
          </w:tcPr>
          <w:p w14:paraId="413FD8F0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49723432" w14:textId="4BDFC3FD" w:rsidR="008210F0" w:rsidRPr="00630051" w:rsidRDefault="008210F0" w:rsidP="004223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Trg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Camp held in military establishment at </w:t>
            </w:r>
            <w:r w:rsidR="5B83A23C" w:rsidRPr="209701E8">
              <w:rPr>
                <w:rFonts w:ascii="Arial" w:hAnsi="Arial" w:cs="Arial"/>
                <w:sz w:val="18"/>
                <w:szCs w:val="18"/>
              </w:rPr>
              <w:t>zero</w:t>
            </w:r>
            <w:r w:rsidRPr="00630051">
              <w:rPr>
                <w:rFonts w:ascii="Arial" w:hAnsi="Arial" w:cs="Arial"/>
                <w:sz w:val="18"/>
                <w:szCs w:val="18"/>
              </w:rPr>
              <w:t xml:space="preserve"> cost for mil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>. Tour as approved by ARU Board.</w:t>
            </w:r>
          </w:p>
        </w:tc>
      </w:tr>
      <w:tr w:rsidR="00697296" w:rsidRPr="00DD21AC" w14:paraId="27316851" w14:textId="77777777" w:rsidTr="00C415F0">
        <w:tc>
          <w:tcPr>
            <w:tcW w:w="870" w:type="dxa"/>
          </w:tcPr>
          <w:p w14:paraId="3F3C10C4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14:paraId="7E5C085D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Academy</w:t>
            </w:r>
            <w:r>
              <w:rPr>
                <w:rFonts w:ascii="Arial" w:hAnsi="Arial" w:cs="Arial"/>
                <w:sz w:val="20"/>
                <w:szCs w:val="20"/>
              </w:rPr>
              <w:t xml:space="preserve"> (U23)</w:t>
            </w:r>
          </w:p>
        </w:tc>
        <w:tc>
          <w:tcPr>
            <w:tcW w:w="1399" w:type="dxa"/>
          </w:tcPr>
          <w:p w14:paraId="1498E6C1" w14:textId="4136C85D" w:rsidR="008210F0" w:rsidRPr="00753F7E" w:rsidRDefault="007464CF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+ 10</w:t>
            </w:r>
          </w:p>
        </w:tc>
        <w:tc>
          <w:tcPr>
            <w:tcW w:w="1399" w:type="dxa"/>
          </w:tcPr>
          <w:p w14:paraId="2BB9DDD5" w14:textId="70C36F7C" w:rsidR="008210F0" w:rsidRPr="00753F7E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auto"/>
          </w:tcPr>
          <w:p w14:paraId="14800C93" w14:textId="13ACB2EC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7A9FABC">
              <w:rPr>
                <w:rFonts w:ascii="Arial" w:hAnsi="Arial" w:cs="Arial"/>
                <w:sz w:val="20"/>
                <w:szCs w:val="20"/>
              </w:rPr>
              <w:t>£22.2k</w:t>
            </w:r>
          </w:p>
        </w:tc>
        <w:tc>
          <w:tcPr>
            <w:tcW w:w="1072" w:type="dxa"/>
          </w:tcPr>
          <w:p w14:paraId="0F6F0EDD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49" w:type="dxa"/>
          </w:tcPr>
          <w:p w14:paraId="3299F540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18" w:type="dxa"/>
          </w:tcPr>
          <w:p w14:paraId="57625E3B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Mil</w:t>
            </w:r>
          </w:p>
        </w:tc>
        <w:tc>
          <w:tcPr>
            <w:tcW w:w="1431" w:type="dxa"/>
          </w:tcPr>
          <w:p w14:paraId="73C5F04C" w14:textId="77777777" w:rsidR="008210F0" w:rsidRPr="00DD21AC" w:rsidRDefault="008210F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0BA07EE9" w14:textId="7D47128E" w:rsidR="008210F0" w:rsidRPr="00630051" w:rsidRDefault="008210F0" w:rsidP="00D661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Trg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Camp held in military establishment at </w:t>
            </w:r>
            <w:r w:rsidR="5B83A23C" w:rsidRPr="209701E8">
              <w:rPr>
                <w:rFonts w:ascii="Arial" w:hAnsi="Arial" w:cs="Arial"/>
                <w:sz w:val="18"/>
                <w:szCs w:val="18"/>
              </w:rPr>
              <w:t>zero</w:t>
            </w:r>
            <w:r w:rsidRPr="00630051">
              <w:rPr>
                <w:rFonts w:ascii="Arial" w:hAnsi="Arial" w:cs="Arial"/>
                <w:sz w:val="18"/>
                <w:szCs w:val="18"/>
              </w:rPr>
              <w:t xml:space="preserve"> cost for mil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. Combined tour approved by the Board with ‘A’ XV every four years to Europe as an ARU Development squad. </w:t>
            </w:r>
          </w:p>
        </w:tc>
      </w:tr>
      <w:tr w:rsidR="00697296" w:rsidRPr="00DD21AC" w14:paraId="7945D1DD" w14:textId="77777777" w:rsidTr="00C415F0">
        <w:tc>
          <w:tcPr>
            <w:tcW w:w="870" w:type="dxa"/>
          </w:tcPr>
          <w:p w14:paraId="2D7BC3B1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14:paraId="000F3618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Army 7s</w:t>
            </w:r>
          </w:p>
        </w:tc>
        <w:tc>
          <w:tcPr>
            <w:tcW w:w="1399" w:type="dxa"/>
          </w:tcPr>
          <w:p w14:paraId="1D5727C6" w14:textId="0C0F7202" w:rsidR="008210F0" w:rsidRPr="00753F7E" w:rsidRDefault="007464CF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+ 7</w:t>
            </w:r>
          </w:p>
        </w:tc>
        <w:tc>
          <w:tcPr>
            <w:tcW w:w="1399" w:type="dxa"/>
          </w:tcPr>
          <w:p w14:paraId="629AF38F" w14:textId="4BABEAAF" w:rsidR="008210F0" w:rsidRPr="00753F7E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1" w:type="dxa"/>
            <w:shd w:val="clear" w:color="auto" w:fill="auto"/>
          </w:tcPr>
          <w:p w14:paraId="6D7EA1AB" w14:textId="5796F022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3DF99F">
              <w:rPr>
                <w:rFonts w:ascii="Arial" w:hAnsi="Arial" w:cs="Arial"/>
                <w:sz w:val="20"/>
                <w:szCs w:val="20"/>
              </w:rPr>
              <w:t>£44.</w:t>
            </w:r>
            <w:r w:rsidRPr="528BDFEB">
              <w:rPr>
                <w:rFonts w:ascii="Arial" w:hAnsi="Arial" w:cs="Arial"/>
                <w:sz w:val="20"/>
                <w:szCs w:val="20"/>
              </w:rPr>
              <w:t>4k</w:t>
            </w:r>
          </w:p>
        </w:tc>
        <w:tc>
          <w:tcPr>
            <w:tcW w:w="1072" w:type="dxa"/>
          </w:tcPr>
          <w:p w14:paraId="2E0D1A1A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49" w:type="dxa"/>
          </w:tcPr>
          <w:p w14:paraId="47AF3063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18" w:type="dxa"/>
          </w:tcPr>
          <w:p w14:paraId="26E010BF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Mil</w:t>
            </w:r>
          </w:p>
        </w:tc>
        <w:tc>
          <w:tcPr>
            <w:tcW w:w="1431" w:type="dxa"/>
          </w:tcPr>
          <w:p w14:paraId="7CEF2D80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7EB17797" w14:textId="6A8D340B" w:rsidR="008210F0" w:rsidRPr="00630051" w:rsidRDefault="008210F0" w:rsidP="006F5B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Trg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Camp held in military establishment at nil cost utilising mil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at UK based 7s events to ordinarily be in military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unless there are no local units able to host. </w:t>
            </w:r>
          </w:p>
        </w:tc>
      </w:tr>
      <w:tr w:rsidR="00697296" w:rsidRPr="00DD21AC" w14:paraId="11930736" w14:textId="77777777" w:rsidTr="00C415F0">
        <w:tc>
          <w:tcPr>
            <w:tcW w:w="870" w:type="dxa"/>
          </w:tcPr>
          <w:p w14:paraId="06910ECA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14:paraId="05F10678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</w:t>
            </w:r>
            <w:r w:rsidRPr="00DD21AC">
              <w:rPr>
                <w:rFonts w:ascii="Arial" w:hAnsi="Arial" w:cs="Arial"/>
                <w:sz w:val="20"/>
                <w:szCs w:val="20"/>
              </w:rPr>
              <w:t xml:space="preserve"> XV’s</w:t>
            </w:r>
          </w:p>
        </w:tc>
        <w:tc>
          <w:tcPr>
            <w:tcW w:w="1399" w:type="dxa"/>
          </w:tcPr>
          <w:p w14:paraId="48388DA4" w14:textId="479F785E" w:rsidR="008210F0" w:rsidRPr="00753F7E" w:rsidRDefault="007464CF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+ 10 </w:t>
            </w:r>
          </w:p>
        </w:tc>
        <w:tc>
          <w:tcPr>
            <w:tcW w:w="1399" w:type="dxa"/>
          </w:tcPr>
          <w:p w14:paraId="0A91EE15" w14:textId="38023859" w:rsidR="008210F0" w:rsidRPr="00753F7E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14:paraId="1B674FDB" w14:textId="5E3F107B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FBF66C4">
              <w:rPr>
                <w:rFonts w:ascii="Arial" w:hAnsi="Arial" w:cs="Arial"/>
                <w:sz w:val="20"/>
                <w:szCs w:val="20"/>
              </w:rPr>
              <w:t>£</w:t>
            </w:r>
            <w:r w:rsidRPr="29736017">
              <w:rPr>
                <w:rFonts w:ascii="Arial" w:hAnsi="Arial" w:cs="Arial"/>
                <w:sz w:val="20"/>
                <w:szCs w:val="20"/>
              </w:rPr>
              <w:t>8.</w:t>
            </w:r>
            <w:r w:rsidRPr="1A61A29F">
              <w:rPr>
                <w:rFonts w:ascii="Arial" w:hAnsi="Arial" w:cs="Arial"/>
                <w:sz w:val="20"/>
                <w:szCs w:val="20"/>
              </w:rPr>
              <w:t>3K</w:t>
            </w:r>
          </w:p>
        </w:tc>
        <w:tc>
          <w:tcPr>
            <w:tcW w:w="1072" w:type="dxa"/>
          </w:tcPr>
          <w:p w14:paraId="656F4F2F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49" w:type="dxa"/>
          </w:tcPr>
          <w:p w14:paraId="7A3DBAFA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18" w:type="dxa"/>
          </w:tcPr>
          <w:p w14:paraId="2D3B0128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Mil</w:t>
            </w:r>
          </w:p>
        </w:tc>
        <w:tc>
          <w:tcPr>
            <w:tcW w:w="1431" w:type="dxa"/>
          </w:tcPr>
          <w:p w14:paraId="4BA82A95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0D7661CF" w14:textId="782501DC" w:rsidR="008210F0" w:rsidRPr="00630051" w:rsidRDefault="008210F0" w:rsidP="009C07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0051">
              <w:rPr>
                <w:rFonts w:ascii="Arial" w:hAnsi="Arial" w:cs="Arial"/>
                <w:sz w:val="18"/>
                <w:szCs w:val="18"/>
              </w:rPr>
              <w:t>Combined tour with Academy every four years as a development squad. Europe.</w:t>
            </w:r>
          </w:p>
        </w:tc>
      </w:tr>
      <w:tr w:rsidR="00697296" w:rsidRPr="00DD21AC" w14:paraId="6FC4A13A" w14:textId="77777777" w:rsidTr="00C415F0">
        <w:tc>
          <w:tcPr>
            <w:tcW w:w="870" w:type="dxa"/>
          </w:tcPr>
          <w:p w14:paraId="50886142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14:paraId="1B07F520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Masters XV</w:t>
            </w:r>
          </w:p>
        </w:tc>
        <w:tc>
          <w:tcPr>
            <w:tcW w:w="1399" w:type="dxa"/>
          </w:tcPr>
          <w:p w14:paraId="74A2988E" w14:textId="1B707929" w:rsidR="008210F0" w:rsidRPr="00753F7E" w:rsidRDefault="007464CF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+ 10</w:t>
            </w:r>
          </w:p>
        </w:tc>
        <w:tc>
          <w:tcPr>
            <w:tcW w:w="1399" w:type="dxa"/>
          </w:tcPr>
          <w:p w14:paraId="1B537F6E" w14:textId="26B12343" w:rsidR="008210F0" w:rsidRPr="00753F7E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auto"/>
          </w:tcPr>
          <w:p w14:paraId="6D4C5847" w14:textId="65CE7EB3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D706489">
              <w:rPr>
                <w:rFonts w:ascii="Arial" w:hAnsi="Arial" w:cs="Arial"/>
                <w:sz w:val="20"/>
                <w:szCs w:val="20"/>
              </w:rPr>
              <w:t>£22.2k</w:t>
            </w:r>
          </w:p>
        </w:tc>
        <w:tc>
          <w:tcPr>
            <w:tcW w:w="1072" w:type="dxa"/>
          </w:tcPr>
          <w:p w14:paraId="24E39A46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49" w:type="dxa"/>
          </w:tcPr>
          <w:p w14:paraId="4AA23A48" w14:textId="2973E28D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Masters Games</w:t>
            </w:r>
          </w:p>
        </w:tc>
        <w:tc>
          <w:tcPr>
            <w:tcW w:w="1218" w:type="dxa"/>
          </w:tcPr>
          <w:p w14:paraId="4CA2C79A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Mil</w:t>
            </w:r>
          </w:p>
        </w:tc>
        <w:tc>
          <w:tcPr>
            <w:tcW w:w="1431" w:type="dxa"/>
          </w:tcPr>
          <w:p w14:paraId="1BD04AEB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20D6E966" w14:textId="0788ED89" w:rsidR="008210F0" w:rsidRPr="00630051" w:rsidRDefault="008210F0" w:rsidP="009C07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Trg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Camp held in military establishment at </w:t>
            </w:r>
            <w:r w:rsidR="5B83A23C" w:rsidRPr="44E3987D">
              <w:rPr>
                <w:rFonts w:ascii="Arial" w:hAnsi="Arial" w:cs="Arial"/>
                <w:sz w:val="18"/>
                <w:szCs w:val="18"/>
              </w:rPr>
              <w:t>zero</w:t>
            </w:r>
            <w:r w:rsidRPr="00630051">
              <w:rPr>
                <w:rFonts w:ascii="Arial" w:hAnsi="Arial" w:cs="Arial"/>
                <w:sz w:val="18"/>
                <w:szCs w:val="18"/>
              </w:rPr>
              <w:t xml:space="preserve"> cost utilising mil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5AB4" w:rsidRPr="00DD21AC" w14:paraId="11965B65" w14:textId="77777777" w:rsidTr="00C415F0">
        <w:tc>
          <w:tcPr>
            <w:tcW w:w="870" w:type="dxa"/>
          </w:tcPr>
          <w:p w14:paraId="656A3098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1232" w:type="dxa"/>
          </w:tcPr>
          <w:p w14:paraId="35D7213E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88D793B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9232230" w14:textId="42141C46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73E35D08" w14:textId="2FBBFDF4" w:rsidR="008210F0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31A5168A">
              <w:rPr>
                <w:rFonts w:ascii="Arial" w:hAnsi="Arial" w:cs="Arial"/>
                <w:sz w:val="20"/>
                <w:szCs w:val="20"/>
              </w:rPr>
              <w:t>363.</w:t>
            </w:r>
            <w:r w:rsidRPr="34DC1FD4">
              <w:rPr>
                <w:rFonts w:ascii="Arial" w:hAnsi="Arial" w:cs="Arial"/>
                <w:sz w:val="20"/>
                <w:szCs w:val="20"/>
              </w:rPr>
              <w:t>2K</w:t>
            </w:r>
          </w:p>
        </w:tc>
        <w:tc>
          <w:tcPr>
            <w:tcW w:w="1072" w:type="dxa"/>
          </w:tcPr>
          <w:p w14:paraId="7474F4B0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5DBFCA6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37837C2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14:paraId="55FFE3F1" w14:textId="77777777" w:rsidR="008210F0" w:rsidRPr="00DD21AC" w:rsidRDefault="008210F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4D885EB" w14:textId="244AD48E" w:rsidR="008210F0" w:rsidRPr="00E73DEC" w:rsidRDefault="008210F0" w:rsidP="009C07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3DEC">
              <w:rPr>
                <w:rFonts w:ascii="Arial" w:hAnsi="Arial" w:cs="Arial"/>
                <w:sz w:val="18"/>
                <w:szCs w:val="18"/>
              </w:rPr>
              <w:t>£</w:t>
            </w:r>
            <w:r w:rsidRPr="5EBBFC91">
              <w:rPr>
                <w:rFonts w:ascii="Arial" w:hAnsi="Arial" w:cs="Arial"/>
                <w:sz w:val="18"/>
                <w:szCs w:val="18"/>
              </w:rPr>
              <w:t>22.2K</w:t>
            </w:r>
            <w:r w:rsidRPr="00E73DEC">
              <w:rPr>
                <w:rFonts w:ascii="Arial" w:hAnsi="Arial" w:cs="Arial"/>
                <w:sz w:val="18"/>
                <w:szCs w:val="18"/>
              </w:rPr>
              <w:t xml:space="preserve"> Rugby Dev and £</w:t>
            </w:r>
            <w:r w:rsidRPr="33C0BC34">
              <w:rPr>
                <w:rFonts w:ascii="Arial" w:hAnsi="Arial" w:cs="Arial"/>
                <w:sz w:val="18"/>
                <w:szCs w:val="18"/>
              </w:rPr>
              <w:t>13.</w:t>
            </w:r>
            <w:r w:rsidRPr="24AEFEBC">
              <w:rPr>
                <w:rFonts w:ascii="Arial" w:hAnsi="Arial" w:cs="Arial"/>
                <w:sz w:val="18"/>
                <w:szCs w:val="18"/>
              </w:rPr>
              <w:t>9K</w:t>
            </w:r>
            <w:r w:rsidRPr="00E73DEC">
              <w:rPr>
                <w:rFonts w:ascii="Arial" w:hAnsi="Arial" w:cs="Arial"/>
                <w:sz w:val="18"/>
                <w:szCs w:val="18"/>
              </w:rPr>
              <w:t xml:space="preserve"> ARURS</w:t>
            </w:r>
          </w:p>
        </w:tc>
      </w:tr>
    </w:tbl>
    <w:p w14:paraId="079C7EF1" w14:textId="77777777" w:rsidR="00E65517" w:rsidRDefault="00424A08" w:rsidP="00B06C5D">
      <w:pPr>
        <w:spacing w:after="0" w:line="240" w:lineRule="auto"/>
        <w:rPr>
          <w:rFonts w:ascii="Arial" w:hAnsi="Arial" w:cs="Arial"/>
        </w:rPr>
      </w:pPr>
      <w:r w:rsidRPr="00424A08">
        <w:rPr>
          <w:rFonts w:ascii="Arial" w:hAnsi="Arial" w:cs="Arial"/>
        </w:rPr>
        <w:t xml:space="preserve">Additional note: </w:t>
      </w:r>
    </w:p>
    <w:p w14:paraId="4B25DC36" w14:textId="4F79DE77" w:rsidR="006426CA" w:rsidRDefault="00B06C5D" w:rsidP="00B06C5D">
      <w:pPr>
        <w:spacing w:after="0" w:line="240" w:lineRule="auto"/>
        <w:rPr>
          <w:rFonts w:ascii="Arial" w:hAnsi="Arial" w:cs="Arial"/>
        </w:rPr>
      </w:pPr>
      <w:r w:rsidRPr="00424A08">
        <w:rPr>
          <w:rFonts w:ascii="Arial" w:hAnsi="Arial" w:cs="Arial"/>
        </w:rPr>
        <w:t xml:space="preserve">All clothing is to be purchased through the approved </w:t>
      </w:r>
      <w:r w:rsidR="006426CA">
        <w:rPr>
          <w:rFonts w:ascii="Arial" w:hAnsi="Arial" w:cs="Arial"/>
        </w:rPr>
        <w:t xml:space="preserve">contracted </w:t>
      </w:r>
      <w:r w:rsidRPr="00424A08">
        <w:rPr>
          <w:rFonts w:ascii="Arial" w:hAnsi="Arial" w:cs="Arial"/>
        </w:rPr>
        <w:t xml:space="preserve">supplier. All clothing </w:t>
      </w:r>
      <w:r w:rsidR="006426CA">
        <w:rPr>
          <w:rFonts w:ascii="Arial" w:hAnsi="Arial" w:cs="Arial"/>
        </w:rPr>
        <w:t xml:space="preserve">/ </w:t>
      </w:r>
      <w:r w:rsidR="00D80976">
        <w:rPr>
          <w:rFonts w:ascii="Arial" w:hAnsi="Arial" w:cs="Arial"/>
        </w:rPr>
        <w:t xml:space="preserve">equipment / subsidiaries’ </w:t>
      </w:r>
      <w:r w:rsidRPr="00424A08">
        <w:rPr>
          <w:rFonts w:ascii="Arial" w:hAnsi="Arial" w:cs="Arial"/>
        </w:rPr>
        <w:t xml:space="preserve">is to following current ARU brands available annually and universal to all teams. </w:t>
      </w:r>
      <w:r w:rsidR="006B361E">
        <w:rPr>
          <w:rFonts w:ascii="Arial" w:hAnsi="Arial" w:cs="Arial"/>
        </w:rPr>
        <w:t>All o</w:t>
      </w:r>
      <w:r w:rsidRPr="00424A08">
        <w:rPr>
          <w:rFonts w:ascii="Arial" w:hAnsi="Arial" w:cs="Arial"/>
        </w:rPr>
        <w:t xml:space="preserve">rders </w:t>
      </w:r>
      <w:r w:rsidR="00E65517">
        <w:rPr>
          <w:rFonts w:ascii="Arial" w:hAnsi="Arial" w:cs="Arial"/>
        </w:rPr>
        <w:t xml:space="preserve">must be ordered </w:t>
      </w:r>
      <w:r w:rsidRPr="00424A08">
        <w:rPr>
          <w:rFonts w:ascii="Arial" w:hAnsi="Arial" w:cs="Arial"/>
        </w:rPr>
        <w:t>via the ARU Office</w:t>
      </w:r>
      <w:r w:rsidR="004A5262">
        <w:rPr>
          <w:rFonts w:ascii="Arial" w:hAnsi="Arial" w:cs="Arial"/>
        </w:rPr>
        <w:t>.</w:t>
      </w:r>
    </w:p>
    <w:p w14:paraId="651B7B0A" w14:textId="77777777" w:rsidR="00E73DEC" w:rsidRDefault="00E73DEC" w:rsidP="00B06C5D">
      <w:pPr>
        <w:spacing w:after="0" w:line="240" w:lineRule="auto"/>
        <w:rPr>
          <w:rFonts w:ascii="Arial" w:hAnsi="Arial" w:cs="Arial"/>
        </w:rPr>
      </w:pPr>
    </w:p>
    <w:p w14:paraId="1431A835" w14:textId="1672BF69" w:rsidR="00B06C5D" w:rsidRPr="00424A08" w:rsidRDefault="00B06C5D" w:rsidP="00B06C5D">
      <w:pPr>
        <w:spacing w:after="0" w:line="240" w:lineRule="auto"/>
        <w:rPr>
          <w:rFonts w:ascii="Arial" w:hAnsi="Arial" w:cs="Arial"/>
        </w:rPr>
      </w:pPr>
      <w:r w:rsidRPr="00424A08">
        <w:rPr>
          <w:rFonts w:ascii="Arial" w:hAnsi="Arial" w:cs="Arial"/>
        </w:rPr>
        <w:t>Annex:</w:t>
      </w:r>
    </w:p>
    <w:p w14:paraId="500EC083" w14:textId="77777777" w:rsidR="00B06C5D" w:rsidRPr="00424A08" w:rsidRDefault="00B06C5D" w:rsidP="00E65517">
      <w:pPr>
        <w:spacing w:after="0"/>
        <w:rPr>
          <w:rFonts w:ascii="Arial" w:hAnsi="Arial" w:cs="Arial"/>
        </w:rPr>
      </w:pPr>
      <w:r w:rsidRPr="00424A08">
        <w:rPr>
          <w:rFonts w:ascii="Arial" w:hAnsi="Arial" w:cs="Arial"/>
          <w:sz w:val="20"/>
          <w:szCs w:val="20"/>
        </w:rPr>
        <w:t xml:space="preserve">A. </w:t>
      </w:r>
      <w:r w:rsidR="00552AA3" w:rsidRPr="00424A08">
        <w:rPr>
          <w:rFonts w:ascii="Arial" w:hAnsi="Arial" w:cs="Arial"/>
        </w:rPr>
        <w:t xml:space="preserve">Strengthening Financial Management Capability in </w:t>
      </w:r>
      <w:r w:rsidR="00BC678B" w:rsidRPr="00424A08">
        <w:rPr>
          <w:rFonts w:ascii="Arial" w:hAnsi="Arial" w:cs="Arial"/>
        </w:rPr>
        <w:t>the</w:t>
      </w:r>
      <w:r w:rsidR="00552AA3" w:rsidRPr="00424A08">
        <w:rPr>
          <w:rFonts w:ascii="Arial" w:hAnsi="Arial" w:cs="Arial"/>
        </w:rPr>
        <w:t xml:space="preserve"> Army Rugby Union Planning Assumptions</w:t>
      </w:r>
      <w:r w:rsidR="00424A08">
        <w:rPr>
          <w:rFonts w:ascii="Arial" w:hAnsi="Arial" w:cs="Arial"/>
        </w:rPr>
        <w:t>.</w:t>
      </w:r>
    </w:p>
    <w:p w14:paraId="60FC3176" w14:textId="77777777" w:rsidR="00B06C5D" w:rsidRDefault="00B06C5D" w:rsidP="00E65517">
      <w:pPr>
        <w:spacing w:after="0"/>
        <w:rPr>
          <w:rFonts w:ascii="Arial" w:hAnsi="Arial" w:cs="Arial"/>
        </w:rPr>
      </w:pPr>
      <w:r w:rsidRPr="00424A08">
        <w:rPr>
          <w:rFonts w:ascii="Arial" w:hAnsi="Arial" w:cs="Arial"/>
          <w:sz w:val="20"/>
          <w:szCs w:val="20"/>
        </w:rPr>
        <w:t>B.</w:t>
      </w:r>
      <w:r w:rsidR="00552AA3" w:rsidRPr="00424A08">
        <w:rPr>
          <w:rFonts w:ascii="Arial" w:hAnsi="Arial" w:cs="Arial"/>
          <w:sz w:val="20"/>
          <w:szCs w:val="20"/>
        </w:rPr>
        <w:t xml:space="preserve"> </w:t>
      </w:r>
      <w:r w:rsidR="00424A08" w:rsidRPr="00424A08">
        <w:rPr>
          <w:rFonts w:ascii="Arial" w:hAnsi="Arial" w:cs="Arial"/>
        </w:rPr>
        <w:t>The Army Rugby Union Clothing and Equipment Care Policy</w:t>
      </w:r>
      <w:r w:rsidR="00424A08">
        <w:rPr>
          <w:rFonts w:ascii="Arial" w:hAnsi="Arial" w:cs="Arial"/>
        </w:rPr>
        <w:t>.</w:t>
      </w:r>
    </w:p>
    <w:p w14:paraId="46026DD5" w14:textId="77777777" w:rsidR="00424A08" w:rsidRPr="00424A08" w:rsidRDefault="00424A08" w:rsidP="00E6551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C. H</w:t>
      </w:r>
      <w:r w:rsidRPr="00DD21AC">
        <w:rPr>
          <w:rFonts w:ascii="Arial" w:hAnsi="Arial" w:cs="Arial"/>
        </w:rPr>
        <w:t>ierarchal</w:t>
      </w:r>
      <w:r>
        <w:rPr>
          <w:rFonts w:ascii="Arial" w:hAnsi="Arial" w:cs="Arial"/>
        </w:rPr>
        <w:t xml:space="preserve"> P</w:t>
      </w:r>
      <w:r w:rsidRPr="00DD21AC">
        <w:rPr>
          <w:rFonts w:ascii="Arial" w:hAnsi="Arial" w:cs="Arial"/>
        </w:rPr>
        <w:t>yramid</w:t>
      </w:r>
      <w:r>
        <w:rPr>
          <w:rFonts w:ascii="Arial" w:hAnsi="Arial" w:cs="Arial"/>
        </w:rPr>
        <w:t xml:space="preserve"> of Priority. V3.</w:t>
      </w:r>
    </w:p>
    <w:sectPr w:rsidR="00424A08" w:rsidRPr="00424A08" w:rsidSect="00454B05">
      <w:footerReference w:type="default" r:id="rId10"/>
      <w:pgSz w:w="16838" w:h="11906" w:orient="landscape"/>
      <w:pgMar w:top="426" w:right="820" w:bottom="568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1F60" w14:textId="77777777" w:rsidR="00B6344A" w:rsidRDefault="00B6344A" w:rsidP="00A81DC2">
      <w:pPr>
        <w:spacing w:after="0" w:line="240" w:lineRule="auto"/>
      </w:pPr>
      <w:r>
        <w:separator/>
      </w:r>
    </w:p>
  </w:endnote>
  <w:endnote w:type="continuationSeparator" w:id="0">
    <w:p w14:paraId="2408A036" w14:textId="77777777" w:rsidR="00B6344A" w:rsidRDefault="00B6344A" w:rsidP="00A81DC2">
      <w:pPr>
        <w:spacing w:after="0" w:line="240" w:lineRule="auto"/>
      </w:pPr>
      <w:r>
        <w:continuationSeparator/>
      </w:r>
    </w:p>
  </w:endnote>
  <w:endnote w:type="continuationNotice" w:id="1">
    <w:p w14:paraId="13C4E571" w14:textId="77777777" w:rsidR="00B6344A" w:rsidRDefault="00B634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7BF2" w14:textId="1D525949" w:rsidR="009E2455" w:rsidRPr="009E2455" w:rsidRDefault="001E38B1">
    <w:pPr>
      <w:pStyle w:val="Footer"/>
      <w:rPr>
        <w:lang w:val="en-GB"/>
      </w:rPr>
    </w:pPr>
    <w:r>
      <w:rPr>
        <w:lang w:val="en-GB"/>
      </w:rPr>
      <w:t xml:space="preserve">ARU Planning Assumptions – </w:t>
    </w:r>
    <w:r w:rsidR="00C76FE7">
      <w:rPr>
        <w:lang w:val="en-GB"/>
      </w:rPr>
      <w:t>July 2022</w:t>
    </w:r>
    <w:r>
      <w:rPr>
        <w:lang w:val="en-GB"/>
      </w:rPr>
      <w:t xml:space="preserve"> – All Playing Departments</w:t>
    </w:r>
  </w:p>
  <w:p w14:paraId="621BDF2F" w14:textId="77777777" w:rsidR="00AB4E66" w:rsidRDefault="00AB4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5A84" w14:textId="77777777" w:rsidR="00B6344A" w:rsidRDefault="00B6344A" w:rsidP="00A81DC2">
      <w:pPr>
        <w:spacing w:after="0" w:line="240" w:lineRule="auto"/>
      </w:pPr>
      <w:r>
        <w:separator/>
      </w:r>
    </w:p>
  </w:footnote>
  <w:footnote w:type="continuationSeparator" w:id="0">
    <w:p w14:paraId="271B1DE6" w14:textId="77777777" w:rsidR="00B6344A" w:rsidRDefault="00B6344A" w:rsidP="00A81DC2">
      <w:pPr>
        <w:spacing w:after="0" w:line="240" w:lineRule="auto"/>
      </w:pPr>
      <w:r>
        <w:continuationSeparator/>
      </w:r>
    </w:p>
  </w:footnote>
  <w:footnote w:type="continuationNotice" w:id="1">
    <w:p w14:paraId="5822BE9E" w14:textId="77777777" w:rsidR="00B6344A" w:rsidRDefault="00B6344A">
      <w:pPr>
        <w:spacing w:after="0" w:line="240" w:lineRule="auto"/>
      </w:pPr>
    </w:p>
  </w:footnote>
  <w:footnote w:id="2">
    <w:p w14:paraId="10F38446" w14:textId="77777777" w:rsidR="008210F0" w:rsidRPr="001E38B1" w:rsidRDefault="008210F0" w:rsidP="0088712E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1E38B1">
        <w:rPr>
          <w:rStyle w:val="FootnoteReference"/>
          <w:rFonts w:ascii="Arial" w:hAnsi="Arial" w:cs="Arial"/>
          <w:sz w:val="20"/>
          <w:szCs w:val="20"/>
        </w:rPr>
        <w:footnoteRef/>
      </w:r>
      <w:r w:rsidRPr="001E38B1">
        <w:rPr>
          <w:rFonts w:ascii="Arial" w:hAnsi="Arial" w:cs="Arial"/>
          <w:sz w:val="20"/>
          <w:szCs w:val="20"/>
        </w:rPr>
        <w:t xml:space="preserve"> Fixtures – This includes any ‘Team Trials’, a </w:t>
      </w:r>
      <w:proofErr w:type="gramStart"/>
      <w:r w:rsidRPr="001E38B1">
        <w:rPr>
          <w:rFonts w:ascii="Arial" w:hAnsi="Arial" w:cs="Arial"/>
          <w:sz w:val="20"/>
          <w:szCs w:val="20"/>
        </w:rPr>
        <w:t>10 day</w:t>
      </w:r>
      <w:proofErr w:type="gramEnd"/>
      <w:r w:rsidRPr="001E38B1">
        <w:rPr>
          <w:rFonts w:ascii="Arial" w:hAnsi="Arial" w:cs="Arial"/>
          <w:sz w:val="20"/>
          <w:szCs w:val="20"/>
        </w:rPr>
        <w:t xml:space="preserve"> training camp and IS games granted to travel at Public Expense (POT 16) and authorised by HQ ASCB.</w:t>
      </w:r>
    </w:p>
  </w:footnote>
  <w:footnote w:id="3">
    <w:p w14:paraId="7ABB4369" w14:textId="77777777" w:rsidR="008210F0" w:rsidRPr="0088712E" w:rsidRDefault="008210F0" w:rsidP="0088712E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1E38B1">
        <w:rPr>
          <w:rStyle w:val="FootnoteReference"/>
          <w:rFonts w:ascii="Arial" w:hAnsi="Arial" w:cs="Arial"/>
          <w:sz w:val="20"/>
          <w:szCs w:val="20"/>
        </w:rPr>
        <w:footnoteRef/>
      </w:r>
      <w:r w:rsidRPr="001E38B1">
        <w:rPr>
          <w:rFonts w:ascii="Arial" w:hAnsi="Arial" w:cs="Arial"/>
          <w:sz w:val="20"/>
          <w:szCs w:val="20"/>
        </w:rPr>
        <w:t xml:space="preserve"> This includes all funding for Inter </w:t>
      </w:r>
      <w:proofErr w:type="gramStart"/>
      <w:r w:rsidRPr="001E38B1">
        <w:rPr>
          <w:rFonts w:ascii="Arial" w:hAnsi="Arial" w:cs="Arial"/>
          <w:sz w:val="20"/>
          <w:szCs w:val="20"/>
        </w:rPr>
        <w:t>Services</w:t>
      </w:r>
      <w:r>
        <w:rPr>
          <w:rFonts w:ascii="Arial" w:hAnsi="Arial" w:cs="Arial"/>
          <w:sz w:val="20"/>
          <w:szCs w:val="20"/>
        </w:rPr>
        <w:t>;</w:t>
      </w:r>
      <w:proofErr w:type="gramEnd"/>
      <w:r w:rsidRPr="001E38B1">
        <w:rPr>
          <w:rFonts w:ascii="Arial" w:hAnsi="Arial" w:cs="Arial"/>
          <w:sz w:val="20"/>
          <w:szCs w:val="20"/>
        </w:rPr>
        <w:t xml:space="preserve"> hotels if relevant, Clothing </w:t>
      </w:r>
      <w:r>
        <w:rPr>
          <w:rFonts w:ascii="Arial" w:hAnsi="Arial" w:cs="Arial"/>
          <w:sz w:val="20"/>
          <w:szCs w:val="20"/>
        </w:rPr>
        <w:t xml:space="preserve">&amp; Equipment </w:t>
      </w:r>
      <w:r w:rsidRPr="001E38B1">
        <w:rPr>
          <w:rFonts w:ascii="Arial" w:hAnsi="Arial" w:cs="Arial"/>
          <w:sz w:val="20"/>
          <w:szCs w:val="20"/>
        </w:rPr>
        <w:t>etc.</w:t>
      </w:r>
    </w:p>
  </w:footnote>
  <w:footnote w:id="4">
    <w:p w14:paraId="7D161272" w14:textId="31781B34" w:rsidR="008210F0" w:rsidRDefault="008210F0" w:rsidP="0088712E">
      <w:pPr>
        <w:pStyle w:val="FootnoteText"/>
      </w:pPr>
      <w:r>
        <w:rPr>
          <w:rStyle w:val="FootnoteReference"/>
        </w:rPr>
        <w:footnoteRef/>
      </w:r>
      <w:r>
        <w:t xml:space="preserve"> Training camps for the will be based in UK. </w:t>
      </w:r>
      <w:proofErr w:type="gramStart"/>
      <w:r>
        <w:t>TM’s</w:t>
      </w:r>
      <w:proofErr w:type="gramEnd"/>
      <w:r>
        <w:t xml:space="preserve"> are to note the direction provided in the ASL Request for Funding section on the Lottery Website.</w:t>
      </w:r>
    </w:p>
  </w:footnote>
  <w:footnote w:id="5">
    <w:p w14:paraId="52CE90A1" w14:textId="77777777" w:rsidR="008210F0" w:rsidRPr="0088712E" w:rsidRDefault="008210F0" w:rsidP="008871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38B1">
        <w:rPr>
          <w:rStyle w:val="FootnoteReference"/>
          <w:rFonts w:ascii="Arial" w:hAnsi="Arial" w:cs="Arial"/>
          <w:sz w:val="20"/>
          <w:szCs w:val="20"/>
        </w:rPr>
        <w:footnoteRef/>
      </w:r>
      <w:r w:rsidRPr="001E38B1">
        <w:rPr>
          <w:rFonts w:ascii="Arial" w:hAnsi="Arial" w:cs="Arial"/>
          <w:sz w:val="20"/>
          <w:szCs w:val="20"/>
        </w:rPr>
        <w:t xml:space="preserve"> Invitations to compete against overseas international teams should be considered by the MB on an individual basis.  A business case, including full costings, should be submitted sufficiently in advance to allow the FSC to make a recommendation to the Board.</w:t>
      </w:r>
      <w:r>
        <w:rPr>
          <w:rFonts w:ascii="Arial" w:hAnsi="Arial" w:cs="Arial"/>
          <w:sz w:val="20"/>
          <w:szCs w:val="20"/>
        </w:rPr>
        <w:t xml:space="preserve"> Earliest ARU Tour authorisation will be Sep 22.</w:t>
      </w:r>
    </w:p>
  </w:footnote>
  <w:footnote w:id="6">
    <w:p w14:paraId="598F5C02" w14:textId="77777777" w:rsidR="008210F0" w:rsidRDefault="008210F0" w:rsidP="002906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38B1">
        <w:rPr>
          <w:rStyle w:val="FootnoteReference"/>
          <w:rFonts w:ascii="Arial" w:hAnsi="Arial" w:cs="Arial"/>
          <w:sz w:val="20"/>
          <w:szCs w:val="20"/>
        </w:rPr>
        <w:footnoteRef/>
      </w:r>
      <w:r w:rsidRPr="001E38B1">
        <w:rPr>
          <w:rFonts w:ascii="Arial" w:hAnsi="Arial" w:cs="Arial"/>
          <w:sz w:val="20"/>
          <w:szCs w:val="20"/>
        </w:rPr>
        <w:t xml:space="preserve"> Accommodation for all teams should be SLAM or equivalent (single rooms). Hotels are only to be used / booked via th</w:t>
      </w:r>
      <w:r>
        <w:rPr>
          <w:rFonts w:ascii="Arial" w:hAnsi="Arial" w:cs="Arial"/>
          <w:sz w:val="20"/>
          <w:szCs w:val="20"/>
        </w:rPr>
        <w:t xml:space="preserve">e ARU </w:t>
      </w:r>
      <w:proofErr w:type="spellStart"/>
      <w:r>
        <w:rPr>
          <w:rFonts w:ascii="Arial" w:hAnsi="Arial" w:cs="Arial"/>
          <w:sz w:val="20"/>
          <w:szCs w:val="20"/>
        </w:rPr>
        <w:t>Do</w:t>
      </w:r>
      <w:r w:rsidRPr="001E38B1">
        <w:rPr>
          <w:rFonts w:ascii="Arial" w:hAnsi="Arial" w:cs="Arial"/>
          <w:sz w:val="20"/>
          <w:szCs w:val="20"/>
        </w:rPr>
        <w:t>F</w:t>
      </w:r>
      <w:proofErr w:type="spellEnd"/>
      <w:r w:rsidRPr="001E38B1">
        <w:rPr>
          <w:rFonts w:ascii="Arial" w:hAnsi="Arial" w:cs="Arial"/>
          <w:sz w:val="20"/>
          <w:szCs w:val="20"/>
        </w:rPr>
        <w:t xml:space="preserve"> on the production of a non-availability certificate issued by the relevant Garrison </w:t>
      </w:r>
      <w:proofErr w:type="spellStart"/>
      <w:r w:rsidRPr="001E38B1">
        <w:rPr>
          <w:rFonts w:ascii="Arial" w:hAnsi="Arial" w:cs="Arial"/>
          <w:sz w:val="20"/>
          <w:szCs w:val="20"/>
        </w:rPr>
        <w:t>accn</w:t>
      </w:r>
      <w:proofErr w:type="spellEnd"/>
      <w:r w:rsidRPr="001E38B1">
        <w:rPr>
          <w:rFonts w:ascii="Arial" w:hAnsi="Arial" w:cs="Arial"/>
          <w:sz w:val="20"/>
          <w:szCs w:val="20"/>
        </w:rPr>
        <w:t xml:space="preserve"> booking cell at least 30 days prior to date </w:t>
      </w:r>
      <w:proofErr w:type="spellStart"/>
      <w:r w:rsidRPr="001E38B1">
        <w:rPr>
          <w:rFonts w:ascii="Arial" w:hAnsi="Arial" w:cs="Arial"/>
          <w:sz w:val="20"/>
          <w:szCs w:val="20"/>
        </w:rPr>
        <w:t>accn</w:t>
      </w:r>
      <w:proofErr w:type="spellEnd"/>
      <w:r w:rsidRPr="001E38B1">
        <w:rPr>
          <w:rFonts w:ascii="Arial" w:hAnsi="Arial" w:cs="Arial"/>
          <w:sz w:val="20"/>
          <w:szCs w:val="20"/>
        </w:rPr>
        <w:t xml:space="preserve"> required. </w:t>
      </w:r>
    </w:p>
    <w:p w14:paraId="6BC9ABAA" w14:textId="77777777" w:rsidR="008210F0" w:rsidRPr="00AF5B7D" w:rsidRDefault="008210F0" w:rsidP="002906A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jU8PhfVTWzU0O" int2:id="6yDuudXb">
      <int2:state int2:value="Rejected" int2:type="LegacyProofing"/>
    </int2:textHash>
    <int2:textHash int2:hashCode="YXTt6O+JuAM56q" int2:id="FJGDkAHx">
      <int2:state int2:value="Rejected" int2:type="LegacyProofing"/>
    </int2:textHash>
    <int2:textHash int2:hashCode="tVwLSDv2vy6lF6" int2:id="IzBqQ1Br">
      <int2:state int2:value="Rejected" int2:type="LegacyProofing"/>
    </int2:textHash>
    <int2:bookmark int2:bookmarkName="_Int_bH8by4EH" int2:invalidationBookmarkName="" int2:hashCode="2D/Dhroz9dXgZE" int2:id="XhbeG2tr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E6D"/>
    <w:multiLevelType w:val="hybridMultilevel"/>
    <w:tmpl w:val="AAECA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414"/>
    <w:multiLevelType w:val="hybridMultilevel"/>
    <w:tmpl w:val="F15E68E4"/>
    <w:lvl w:ilvl="0" w:tplc="CEA2BA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2C5E"/>
    <w:multiLevelType w:val="hybridMultilevel"/>
    <w:tmpl w:val="A5F6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44A0"/>
    <w:multiLevelType w:val="hybridMultilevel"/>
    <w:tmpl w:val="5842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508C"/>
    <w:multiLevelType w:val="hybridMultilevel"/>
    <w:tmpl w:val="E0F01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C9A9C2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1937"/>
    <w:multiLevelType w:val="hybridMultilevel"/>
    <w:tmpl w:val="F63E49F0"/>
    <w:lvl w:ilvl="0" w:tplc="8A1838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468A6"/>
    <w:multiLevelType w:val="hybridMultilevel"/>
    <w:tmpl w:val="8084B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73F"/>
    <w:multiLevelType w:val="hybridMultilevel"/>
    <w:tmpl w:val="510A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C6F11"/>
    <w:multiLevelType w:val="hybridMultilevel"/>
    <w:tmpl w:val="620AAAF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4EA38AE"/>
    <w:multiLevelType w:val="hybridMultilevel"/>
    <w:tmpl w:val="74D220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75290"/>
    <w:multiLevelType w:val="hybridMultilevel"/>
    <w:tmpl w:val="66B6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5ECE"/>
    <w:multiLevelType w:val="hybridMultilevel"/>
    <w:tmpl w:val="5AFA840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1715237"/>
    <w:multiLevelType w:val="hybridMultilevel"/>
    <w:tmpl w:val="9724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5F9B"/>
    <w:multiLevelType w:val="hybridMultilevel"/>
    <w:tmpl w:val="CEBA37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02966"/>
    <w:multiLevelType w:val="hybridMultilevel"/>
    <w:tmpl w:val="8F16BF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0C83"/>
    <w:multiLevelType w:val="hybridMultilevel"/>
    <w:tmpl w:val="FD88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2519"/>
    <w:multiLevelType w:val="hybridMultilevel"/>
    <w:tmpl w:val="CD3E639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0B3648"/>
    <w:multiLevelType w:val="hybridMultilevel"/>
    <w:tmpl w:val="4F58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6F0A"/>
    <w:multiLevelType w:val="hybridMultilevel"/>
    <w:tmpl w:val="35E4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2A0F"/>
    <w:multiLevelType w:val="hybridMultilevel"/>
    <w:tmpl w:val="66AA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65609"/>
    <w:multiLevelType w:val="hybridMultilevel"/>
    <w:tmpl w:val="CA861AF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2CF6168"/>
    <w:multiLevelType w:val="hybridMultilevel"/>
    <w:tmpl w:val="16005396"/>
    <w:lvl w:ilvl="0" w:tplc="750E1A1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E1492"/>
    <w:multiLevelType w:val="hybridMultilevel"/>
    <w:tmpl w:val="744A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C039E"/>
    <w:multiLevelType w:val="hybridMultilevel"/>
    <w:tmpl w:val="04FA6E7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2663A"/>
    <w:multiLevelType w:val="hybridMultilevel"/>
    <w:tmpl w:val="38A2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545F4"/>
    <w:multiLevelType w:val="hybridMultilevel"/>
    <w:tmpl w:val="D7BCDB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6975380">
    <w:abstractNumId w:val="21"/>
  </w:num>
  <w:num w:numId="2" w16cid:durableId="323053955">
    <w:abstractNumId w:val="15"/>
  </w:num>
  <w:num w:numId="3" w16cid:durableId="392432039">
    <w:abstractNumId w:val="1"/>
  </w:num>
  <w:num w:numId="4" w16cid:durableId="2042002843">
    <w:abstractNumId w:val="5"/>
  </w:num>
  <w:num w:numId="5" w16cid:durableId="1962758034">
    <w:abstractNumId w:val="0"/>
  </w:num>
  <w:num w:numId="6" w16cid:durableId="1325160619">
    <w:abstractNumId w:val="13"/>
  </w:num>
  <w:num w:numId="7" w16cid:durableId="1655332646">
    <w:abstractNumId w:val="4"/>
  </w:num>
  <w:num w:numId="8" w16cid:durableId="181356480">
    <w:abstractNumId w:val="25"/>
  </w:num>
  <w:num w:numId="9" w16cid:durableId="1471022384">
    <w:abstractNumId w:val="11"/>
  </w:num>
  <w:num w:numId="10" w16cid:durableId="534198326">
    <w:abstractNumId w:val="14"/>
  </w:num>
  <w:num w:numId="11" w16cid:durableId="842746800">
    <w:abstractNumId w:val="8"/>
  </w:num>
  <w:num w:numId="12" w16cid:durableId="1847094168">
    <w:abstractNumId w:val="16"/>
  </w:num>
  <w:num w:numId="13" w16cid:durableId="1802765858">
    <w:abstractNumId w:val="24"/>
  </w:num>
  <w:num w:numId="14" w16cid:durableId="2086300722">
    <w:abstractNumId w:val="3"/>
  </w:num>
  <w:num w:numId="15" w16cid:durableId="383674181">
    <w:abstractNumId w:val="2"/>
  </w:num>
  <w:num w:numId="16" w16cid:durableId="2128039712">
    <w:abstractNumId w:val="10"/>
  </w:num>
  <w:num w:numId="17" w16cid:durableId="1262296116">
    <w:abstractNumId w:val="17"/>
  </w:num>
  <w:num w:numId="18" w16cid:durableId="999121378">
    <w:abstractNumId w:val="7"/>
  </w:num>
  <w:num w:numId="19" w16cid:durableId="1457914979">
    <w:abstractNumId w:val="19"/>
  </w:num>
  <w:num w:numId="20" w16cid:durableId="200093479">
    <w:abstractNumId w:val="18"/>
  </w:num>
  <w:num w:numId="21" w16cid:durableId="560219295">
    <w:abstractNumId w:val="12"/>
  </w:num>
  <w:num w:numId="22" w16cid:durableId="1014502445">
    <w:abstractNumId w:val="22"/>
  </w:num>
  <w:num w:numId="23" w16cid:durableId="1167089520">
    <w:abstractNumId w:val="6"/>
  </w:num>
  <w:num w:numId="24" w16cid:durableId="400520101">
    <w:abstractNumId w:val="9"/>
  </w:num>
  <w:num w:numId="25" w16cid:durableId="1568568588">
    <w:abstractNumId w:val="20"/>
  </w:num>
  <w:num w:numId="26" w16cid:durableId="4080409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DD1"/>
    <w:rsid w:val="00003015"/>
    <w:rsid w:val="0001647C"/>
    <w:rsid w:val="000457E6"/>
    <w:rsid w:val="0005223B"/>
    <w:rsid w:val="000623A7"/>
    <w:rsid w:val="00071D71"/>
    <w:rsid w:val="0008039F"/>
    <w:rsid w:val="00093081"/>
    <w:rsid w:val="000A0813"/>
    <w:rsid w:val="000A0E74"/>
    <w:rsid w:val="000A37EF"/>
    <w:rsid w:val="000B31D1"/>
    <w:rsid w:val="000B358D"/>
    <w:rsid w:val="000C1F23"/>
    <w:rsid w:val="000C3CF0"/>
    <w:rsid w:val="000C4391"/>
    <w:rsid w:val="000C534D"/>
    <w:rsid w:val="000D3ED9"/>
    <w:rsid w:val="000D7BAE"/>
    <w:rsid w:val="000E26FC"/>
    <w:rsid w:val="000E3243"/>
    <w:rsid w:val="000E51BE"/>
    <w:rsid w:val="000F7F9E"/>
    <w:rsid w:val="001014F2"/>
    <w:rsid w:val="00103DBD"/>
    <w:rsid w:val="00106BBF"/>
    <w:rsid w:val="00110498"/>
    <w:rsid w:val="00113669"/>
    <w:rsid w:val="0012061B"/>
    <w:rsid w:val="0012790E"/>
    <w:rsid w:val="00133450"/>
    <w:rsid w:val="001431BD"/>
    <w:rsid w:val="00151A06"/>
    <w:rsid w:val="00156320"/>
    <w:rsid w:val="00167561"/>
    <w:rsid w:val="001A0201"/>
    <w:rsid w:val="001D062B"/>
    <w:rsid w:val="001D5C03"/>
    <w:rsid w:val="001E07B3"/>
    <w:rsid w:val="001E0C2D"/>
    <w:rsid w:val="001E0F72"/>
    <w:rsid w:val="001E38B1"/>
    <w:rsid w:val="001E5075"/>
    <w:rsid w:val="001E707E"/>
    <w:rsid w:val="001F0AB0"/>
    <w:rsid w:val="001F0F05"/>
    <w:rsid w:val="001F4FA8"/>
    <w:rsid w:val="00206425"/>
    <w:rsid w:val="00210A31"/>
    <w:rsid w:val="0021478F"/>
    <w:rsid w:val="00216B0B"/>
    <w:rsid w:val="00220378"/>
    <w:rsid w:val="00224573"/>
    <w:rsid w:val="0023089C"/>
    <w:rsid w:val="002308F8"/>
    <w:rsid w:val="002339CB"/>
    <w:rsid w:val="002432D3"/>
    <w:rsid w:val="00253D1A"/>
    <w:rsid w:val="002540FE"/>
    <w:rsid w:val="002634F8"/>
    <w:rsid w:val="0026599C"/>
    <w:rsid w:val="002722B4"/>
    <w:rsid w:val="00272F29"/>
    <w:rsid w:val="00274351"/>
    <w:rsid w:val="00280CED"/>
    <w:rsid w:val="002847B0"/>
    <w:rsid w:val="002906A7"/>
    <w:rsid w:val="00294A93"/>
    <w:rsid w:val="002971E4"/>
    <w:rsid w:val="002A2C55"/>
    <w:rsid w:val="002A4EB6"/>
    <w:rsid w:val="002B2CA3"/>
    <w:rsid w:val="002B4F50"/>
    <w:rsid w:val="002B7118"/>
    <w:rsid w:val="002C0155"/>
    <w:rsid w:val="002D3286"/>
    <w:rsid w:val="002F1CA4"/>
    <w:rsid w:val="00304FCD"/>
    <w:rsid w:val="00310AD1"/>
    <w:rsid w:val="00312B87"/>
    <w:rsid w:val="00316050"/>
    <w:rsid w:val="00324188"/>
    <w:rsid w:val="00330B88"/>
    <w:rsid w:val="00331513"/>
    <w:rsid w:val="00336202"/>
    <w:rsid w:val="00344019"/>
    <w:rsid w:val="003453AB"/>
    <w:rsid w:val="0034629D"/>
    <w:rsid w:val="0035678E"/>
    <w:rsid w:val="00362C5E"/>
    <w:rsid w:val="003846E5"/>
    <w:rsid w:val="00386278"/>
    <w:rsid w:val="003905FF"/>
    <w:rsid w:val="00395CED"/>
    <w:rsid w:val="0039702C"/>
    <w:rsid w:val="003B6243"/>
    <w:rsid w:val="003B6D7E"/>
    <w:rsid w:val="003C0AF7"/>
    <w:rsid w:val="003C741F"/>
    <w:rsid w:val="003D2717"/>
    <w:rsid w:val="003E0314"/>
    <w:rsid w:val="003E13DC"/>
    <w:rsid w:val="003F31C3"/>
    <w:rsid w:val="00406B5C"/>
    <w:rsid w:val="00407639"/>
    <w:rsid w:val="00413D6F"/>
    <w:rsid w:val="00415B80"/>
    <w:rsid w:val="00422395"/>
    <w:rsid w:val="00424A08"/>
    <w:rsid w:val="00430891"/>
    <w:rsid w:val="0043638D"/>
    <w:rsid w:val="004370D5"/>
    <w:rsid w:val="00437ADB"/>
    <w:rsid w:val="004403FC"/>
    <w:rsid w:val="00442614"/>
    <w:rsid w:val="004547E0"/>
    <w:rsid w:val="00454B05"/>
    <w:rsid w:val="00455683"/>
    <w:rsid w:val="00466A12"/>
    <w:rsid w:val="00470B63"/>
    <w:rsid w:val="00472B37"/>
    <w:rsid w:val="00480019"/>
    <w:rsid w:val="00483792"/>
    <w:rsid w:val="00490BE5"/>
    <w:rsid w:val="004914EC"/>
    <w:rsid w:val="00493EA1"/>
    <w:rsid w:val="0049407A"/>
    <w:rsid w:val="004A28EE"/>
    <w:rsid w:val="004A5262"/>
    <w:rsid w:val="004A5B2B"/>
    <w:rsid w:val="004A6B27"/>
    <w:rsid w:val="004A7678"/>
    <w:rsid w:val="004B43FB"/>
    <w:rsid w:val="004C2594"/>
    <w:rsid w:val="004E7B25"/>
    <w:rsid w:val="004E7EA0"/>
    <w:rsid w:val="004F1C88"/>
    <w:rsid w:val="004F37DF"/>
    <w:rsid w:val="005019AE"/>
    <w:rsid w:val="00502524"/>
    <w:rsid w:val="005209AF"/>
    <w:rsid w:val="00523380"/>
    <w:rsid w:val="00523C96"/>
    <w:rsid w:val="005356EF"/>
    <w:rsid w:val="005423A5"/>
    <w:rsid w:val="005465A8"/>
    <w:rsid w:val="00546F58"/>
    <w:rsid w:val="005508EA"/>
    <w:rsid w:val="00552AA3"/>
    <w:rsid w:val="005533E3"/>
    <w:rsid w:val="005549F2"/>
    <w:rsid w:val="00556208"/>
    <w:rsid w:val="00577F7B"/>
    <w:rsid w:val="00582027"/>
    <w:rsid w:val="005911FF"/>
    <w:rsid w:val="00593A91"/>
    <w:rsid w:val="00595DDD"/>
    <w:rsid w:val="00597420"/>
    <w:rsid w:val="00597C01"/>
    <w:rsid w:val="005A1DD2"/>
    <w:rsid w:val="005D5E2F"/>
    <w:rsid w:val="005E74A5"/>
    <w:rsid w:val="005F0379"/>
    <w:rsid w:val="005F1FD8"/>
    <w:rsid w:val="005F22E3"/>
    <w:rsid w:val="00600661"/>
    <w:rsid w:val="006040CE"/>
    <w:rsid w:val="00604F30"/>
    <w:rsid w:val="00606880"/>
    <w:rsid w:val="00606984"/>
    <w:rsid w:val="00610473"/>
    <w:rsid w:val="00612CBF"/>
    <w:rsid w:val="00615AA8"/>
    <w:rsid w:val="00617085"/>
    <w:rsid w:val="00624B8C"/>
    <w:rsid w:val="00625F36"/>
    <w:rsid w:val="0063002A"/>
    <w:rsid w:val="00630051"/>
    <w:rsid w:val="00632F49"/>
    <w:rsid w:val="00633977"/>
    <w:rsid w:val="006419B5"/>
    <w:rsid w:val="006426CA"/>
    <w:rsid w:val="00642F54"/>
    <w:rsid w:val="00646067"/>
    <w:rsid w:val="0064750B"/>
    <w:rsid w:val="00654AB4"/>
    <w:rsid w:val="00657ED9"/>
    <w:rsid w:val="006603AA"/>
    <w:rsid w:val="00662F25"/>
    <w:rsid w:val="00663CD0"/>
    <w:rsid w:val="00664104"/>
    <w:rsid w:val="00667D6E"/>
    <w:rsid w:val="00681675"/>
    <w:rsid w:val="00682196"/>
    <w:rsid w:val="0069055E"/>
    <w:rsid w:val="00692068"/>
    <w:rsid w:val="0069472F"/>
    <w:rsid w:val="00695B41"/>
    <w:rsid w:val="006967DD"/>
    <w:rsid w:val="00697296"/>
    <w:rsid w:val="00697AA8"/>
    <w:rsid w:val="006B226B"/>
    <w:rsid w:val="006B361E"/>
    <w:rsid w:val="006B3A11"/>
    <w:rsid w:val="006B5E1A"/>
    <w:rsid w:val="006C71C2"/>
    <w:rsid w:val="006D0F5A"/>
    <w:rsid w:val="006D21FF"/>
    <w:rsid w:val="006D6134"/>
    <w:rsid w:val="006D76FF"/>
    <w:rsid w:val="006E463A"/>
    <w:rsid w:val="006F55BF"/>
    <w:rsid w:val="006F5A8E"/>
    <w:rsid w:val="006F5BC8"/>
    <w:rsid w:val="006F6224"/>
    <w:rsid w:val="007120C3"/>
    <w:rsid w:val="0071776E"/>
    <w:rsid w:val="007205B9"/>
    <w:rsid w:val="00726052"/>
    <w:rsid w:val="0073170A"/>
    <w:rsid w:val="00731E91"/>
    <w:rsid w:val="0074092A"/>
    <w:rsid w:val="0074306B"/>
    <w:rsid w:val="0074347B"/>
    <w:rsid w:val="00743E2C"/>
    <w:rsid w:val="007464CF"/>
    <w:rsid w:val="00753D76"/>
    <w:rsid w:val="00753F7E"/>
    <w:rsid w:val="007557BD"/>
    <w:rsid w:val="00756E01"/>
    <w:rsid w:val="0076021F"/>
    <w:rsid w:val="00760999"/>
    <w:rsid w:val="00762C96"/>
    <w:rsid w:val="00773034"/>
    <w:rsid w:val="0077581C"/>
    <w:rsid w:val="00786C14"/>
    <w:rsid w:val="007906AB"/>
    <w:rsid w:val="00795851"/>
    <w:rsid w:val="00797000"/>
    <w:rsid w:val="00797A5D"/>
    <w:rsid w:val="007A06CB"/>
    <w:rsid w:val="007A24FB"/>
    <w:rsid w:val="007A2A19"/>
    <w:rsid w:val="007B4757"/>
    <w:rsid w:val="007B78ED"/>
    <w:rsid w:val="007B797F"/>
    <w:rsid w:val="007E0395"/>
    <w:rsid w:val="007E510B"/>
    <w:rsid w:val="007F4302"/>
    <w:rsid w:val="007F58FD"/>
    <w:rsid w:val="008020F0"/>
    <w:rsid w:val="00802A95"/>
    <w:rsid w:val="00805B47"/>
    <w:rsid w:val="00810685"/>
    <w:rsid w:val="008210F0"/>
    <w:rsid w:val="008217C3"/>
    <w:rsid w:val="0082350F"/>
    <w:rsid w:val="00832466"/>
    <w:rsid w:val="00837F27"/>
    <w:rsid w:val="00845AE2"/>
    <w:rsid w:val="00845B0C"/>
    <w:rsid w:val="00855A45"/>
    <w:rsid w:val="0085621C"/>
    <w:rsid w:val="00861AEE"/>
    <w:rsid w:val="0086249D"/>
    <w:rsid w:val="008636AC"/>
    <w:rsid w:val="00875636"/>
    <w:rsid w:val="00880244"/>
    <w:rsid w:val="00885C69"/>
    <w:rsid w:val="0088712E"/>
    <w:rsid w:val="00897B2C"/>
    <w:rsid w:val="008A1621"/>
    <w:rsid w:val="008A428F"/>
    <w:rsid w:val="008B244E"/>
    <w:rsid w:val="008C4B3E"/>
    <w:rsid w:val="008D10A5"/>
    <w:rsid w:val="008D3D78"/>
    <w:rsid w:val="008D4EF9"/>
    <w:rsid w:val="008D7F80"/>
    <w:rsid w:val="008E0132"/>
    <w:rsid w:val="008E02B6"/>
    <w:rsid w:val="008E0CF7"/>
    <w:rsid w:val="008E7425"/>
    <w:rsid w:val="008F402E"/>
    <w:rsid w:val="00903808"/>
    <w:rsid w:val="00910D3A"/>
    <w:rsid w:val="009119A0"/>
    <w:rsid w:val="00911F3C"/>
    <w:rsid w:val="00920679"/>
    <w:rsid w:val="0092330B"/>
    <w:rsid w:val="0092561D"/>
    <w:rsid w:val="00926E2C"/>
    <w:rsid w:val="00930792"/>
    <w:rsid w:val="0093129F"/>
    <w:rsid w:val="00934ED6"/>
    <w:rsid w:val="009358AE"/>
    <w:rsid w:val="009368A1"/>
    <w:rsid w:val="00943945"/>
    <w:rsid w:val="00950108"/>
    <w:rsid w:val="00950F03"/>
    <w:rsid w:val="009526EF"/>
    <w:rsid w:val="009544B9"/>
    <w:rsid w:val="00954817"/>
    <w:rsid w:val="0095537A"/>
    <w:rsid w:val="00957603"/>
    <w:rsid w:val="00966477"/>
    <w:rsid w:val="00967A19"/>
    <w:rsid w:val="00967CF7"/>
    <w:rsid w:val="009702A0"/>
    <w:rsid w:val="009756C5"/>
    <w:rsid w:val="009774D1"/>
    <w:rsid w:val="00985AB4"/>
    <w:rsid w:val="009936A9"/>
    <w:rsid w:val="00996570"/>
    <w:rsid w:val="009A2919"/>
    <w:rsid w:val="009B412C"/>
    <w:rsid w:val="009B7457"/>
    <w:rsid w:val="009C072A"/>
    <w:rsid w:val="009C2949"/>
    <w:rsid w:val="009D0E2F"/>
    <w:rsid w:val="009D1892"/>
    <w:rsid w:val="009E2455"/>
    <w:rsid w:val="009E5529"/>
    <w:rsid w:val="00A00241"/>
    <w:rsid w:val="00A00B69"/>
    <w:rsid w:val="00A019ED"/>
    <w:rsid w:val="00A03F16"/>
    <w:rsid w:val="00A073FD"/>
    <w:rsid w:val="00A14169"/>
    <w:rsid w:val="00A217EC"/>
    <w:rsid w:val="00A25DFC"/>
    <w:rsid w:val="00A4103F"/>
    <w:rsid w:val="00A51770"/>
    <w:rsid w:val="00A52842"/>
    <w:rsid w:val="00A618C1"/>
    <w:rsid w:val="00A65D20"/>
    <w:rsid w:val="00A7080E"/>
    <w:rsid w:val="00A70EC8"/>
    <w:rsid w:val="00A775ED"/>
    <w:rsid w:val="00A80422"/>
    <w:rsid w:val="00A81DC2"/>
    <w:rsid w:val="00A85BAD"/>
    <w:rsid w:val="00A92461"/>
    <w:rsid w:val="00AA287C"/>
    <w:rsid w:val="00AB1CB4"/>
    <w:rsid w:val="00AB46DB"/>
    <w:rsid w:val="00AB4E66"/>
    <w:rsid w:val="00AC0285"/>
    <w:rsid w:val="00AD57A8"/>
    <w:rsid w:val="00AF50A7"/>
    <w:rsid w:val="00AF5B7D"/>
    <w:rsid w:val="00AF7F33"/>
    <w:rsid w:val="00B06C5D"/>
    <w:rsid w:val="00B12673"/>
    <w:rsid w:val="00B14D26"/>
    <w:rsid w:val="00B3082C"/>
    <w:rsid w:val="00B30AF4"/>
    <w:rsid w:val="00B376E0"/>
    <w:rsid w:val="00B444F7"/>
    <w:rsid w:val="00B550EE"/>
    <w:rsid w:val="00B55454"/>
    <w:rsid w:val="00B554BC"/>
    <w:rsid w:val="00B575B9"/>
    <w:rsid w:val="00B6175A"/>
    <w:rsid w:val="00B6344A"/>
    <w:rsid w:val="00B64573"/>
    <w:rsid w:val="00B72432"/>
    <w:rsid w:val="00B74A64"/>
    <w:rsid w:val="00B76041"/>
    <w:rsid w:val="00B77D22"/>
    <w:rsid w:val="00B77E0C"/>
    <w:rsid w:val="00B854CB"/>
    <w:rsid w:val="00B86E54"/>
    <w:rsid w:val="00BA0DDC"/>
    <w:rsid w:val="00BA3808"/>
    <w:rsid w:val="00BA3B26"/>
    <w:rsid w:val="00BA57F5"/>
    <w:rsid w:val="00BA65A2"/>
    <w:rsid w:val="00BB7900"/>
    <w:rsid w:val="00BC678B"/>
    <w:rsid w:val="00BD3582"/>
    <w:rsid w:val="00BD6309"/>
    <w:rsid w:val="00BE1474"/>
    <w:rsid w:val="00BF1E69"/>
    <w:rsid w:val="00BF4B97"/>
    <w:rsid w:val="00C05A96"/>
    <w:rsid w:val="00C12C85"/>
    <w:rsid w:val="00C13F0E"/>
    <w:rsid w:val="00C14A3D"/>
    <w:rsid w:val="00C1595E"/>
    <w:rsid w:val="00C23D9E"/>
    <w:rsid w:val="00C25BAE"/>
    <w:rsid w:val="00C25F45"/>
    <w:rsid w:val="00C33E50"/>
    <w:rsid w:val="00C415F0"/>
    <w:rsid w:val="00C42AD3"/>
    <w:rsid w:val="00C443CC"/>
    <w:rsid w:val="00C51F85"/>
    <w:rsid w:val="00C521D2"/>
    <w:rsid w:val="00C54A04"/>
    <w:rsid w:val="00C74214"/>
    <w:rsid w:val="00C76FE7"/>
    <w:rsid w:val="00C774F8"/>
    <w:rsid w:val="00C8009F"/>
    <w:rsid w:val="00C916D2"/>
    <w:rsid w:val="00CA4879"/>
    <w:rsid w:val="00CA5BBD"/>
    <w:rsid w:val="00CA5DD1"/>
    <w:rsid w:val="00CB190E"/>
    <w:rsid w:val="00CB708F"/>
    <w:rsid w:val="00CB79CB"/>
    <w:rsid w:val="00CD7C37"/>
    <w:rsid w:val="00CE5209"/>
    <w:rsid w:val="00CF298D"/>
    <w:rsid w:val="00D0679B"/>
    <w:rsid w:val="00D33078"/>
    <w:rsid w:val="00D338DF"/>
    <w:rsid w:val="00D42B3B"/>
    <w:rsid w:val="00D50F4E"/>
    <w:rsid w:val="00D52C92"/>
    <w:rsid w:val="00D5347B"/>
    <w:rsid w:val="00D5605E"/>
    <w:rsid w:val="00D632C9"/>
    <w:rsid w:val="00D6611A"/>
    <w:rsid w:val="00D67DEC"/>
    <w:rsid w:val="00D725A5"/>
    <w:rsid w:val="00D75088"/>
    <w:rsid w:val="00D80976"/>
    <w:rsid w:val="00D82225"/>
    <w:rsid w:val="00D86B3C"/>
    <w:rsid w:val="00D86EB6"/>
    <w:rsid w:val="00D8732A"/>
    <w:rsid w:val="00D9181A"/>
    <w:rsid w:val="00D9437F"/>
    <w:rsid w:val="00D9607B"/>
    <w:rsid w:val="00DA66C5"/>
    <w:rsid w:val="00DB07F7"/>
    <w:rsid w:val="00DB0D75"/>
    <w:rsid w:val="00DB78EF"/>
    <w:rsid w:val="00DC0A9F"/>
    <w:rsid w:val="00DC3893"/>
    <w:rsid w:val="00DC4A67"/>
    <w:rsid w:val="00DC4A88"/>
    <w:rsid w:val="00DC6AC3"/>
    <w:rsid w:val="00DD21AC"/>
    <w:rsid w:val="00DD3752"/>
    <w:rsid w:val="00DD6C1E"/>
    <w:rsid w:val="00DD6F61"/>
    <w:rsid w:val="00DD7022"/>
    <w:rsid w:val="00DE4951"/>
    <w:rsid w:val="00DE7F69"/>
    <w:rsid w:val="00DE7FA3"/>
    <w:rsid w:val="00DF03FC"/>
    <w:rsid w:val="00DF308A"/>
    <w:rsid w:val="00E0025E"/>
    <w:rsid w:val="00E0027F"/>
    <w:rsid w:val="00E0221D"/>
    <w:rsid w:val="00E03545"/>
    <w:rsid w:val="00E1357A"/>
    <w:rsid w:val="00E22313"/>
    <w:rsid w:val="00E25B8A"/>
    <w:rsid w:val="00E279F8"/>
    <w:rsid w:val="00E30609"/>
    <w:rsid w:val="00E35CC5"/>
    <w:rsid w:val="00E400BD"/>
    <w:rsid w:val="00E43FFF"/>
    <w:rsid w:val="00E5531C"/>
    <w:rsid w:val="00E632D1"/>
    <w:rsid w:val="00E63DC6"/>
    <w:rsid w:val="00E65517"/>
    <w:rsid w:val="00E73DEC"/>
    <w:rsid w:val="00E76854"/>
    <w:rsid w:val="00E8117F"/>
    <w:rsid w:val="00E81360"/>
    <w:rsid w:val="00E822C1"/>
    <w:rsid w:val="00E824B9"/>
    <w:rsid w:val="00E87543"/>
    <w:rsid w:val="00E91637"/>
    <w:rsid w:val="00E946D1"/>
    <w:rsid w:val="00E97E18"/>
    <w:rsid w:val="00EA09FA"/>
    <w:rsid w:val="00EA427F"/>
    <w:rsid w:val="00EA4CAB"/>
    <w:rsid w:val="00EB20A9"/>
    <w:rsid w:val="00EB3454"/>
    <w:rsid w:val="00EB3A3C"/>
    <w:rsid w:val="00EB4B90"/>
    <w:rsid w:val="00EC010D"/>
    <w:rsid w:val="00EC761B"/>
    <w:rsid w:val="00ED00C5"/>
    <w:rsid w:val="00ED15B3"/>
    <w:rsid w:val="00ED1705"/>
    <w:rsid w:val="00EE4AA3"/>
    <w:rsid w:val="00EE5EBE"/>
    <w:rsid w:val="00EF40CE"/>
    <w:rsid w:val="00EF6946"/>
    <w:rsid w:val="00EF75CF"/>
    <w:rsid w:val="00F219A7"/>
    <w:rsid w:val="00F25EAA"/>
    <w:rsid w:val="00F332DD"/>
    <w:rsid w:val="00F45C64"/>
    <w:rsid w:val="00F45E98"/>
    <w:rsid w:val="00F47D1D"/>
    <w:rsid w:val="00F543F8"/>
    <w:rsid w:val="00F569B3"/>
    <w:rsid w:val="00F6247A"/>
    <w:rsid w:val="00F65C0A"/>
    <w:rsid w:val="00F7274D"/>
    <w:rsid w:val="00F801F7"/>
    <w:rsid w:val="00F84A02"/>
    <w:rsid w:val="00F92BCC"/>
    <w:rsid w:val="00F934F7"/>
    <w:rsid w:val="00F94BCC"/>
    <w:rsid w:val="00FA21A7"/>
    <w:rsid w:val="00FA271C"/>
    <w:rsid w:val="00FA2C6C"/>
    <w:rsid w:val="00FA2D59"/>
    <w:rsid w:val="00FA31D1"/>
    <w:rsid w:val="00FA4858"/>
    <w:rsid w:val="00FB01EA"/>
    <w:rsid w:val="00FB75A1"/>
    <w:rsid w:val="00FC14AD"/>
    <w:rsid w:val="00FC3E79"/>
    <w:rsid w:val="00FC4189"/>
    <w:rsid w:val="00FC5DB5"/>
    <w:rsid w:val="00FD0FE7"/>
    <w:rsid w:val="00FD56E6"/>
    <w:rsid w:val="00FE275B"/>
    <w:rsid w:val="00FE4707"/>
    <w:rsid w:val="00FE5A6E"/>
    <w:rsid w:val="00FF26AA"/>
    <w:rsid w:val="044A35B3"/>
    <w:rsid w:val="04A629F0"/>
    <w:rsid w:val="05BE6567"/>
    <w:rsid w:val="0A308673"/>
    <w:rsid w:val="0AF64ECA"/>
    <w:rsid w:val="0D619B70"/>
    <w:rsid w:val="12487D11"/>
    <w:rsid w:val="13416A08"/>
    <w:rsid w:val="13D3129B"/>
    <w:rsid w:val="14A94C7B"/>
    <w:rsid w:val="14D31837"/>
    <w:rsid w:val="1633E205"/>
    <w:rsid w:val="163DF99F"/>
    <w:rsid w:val="165C1A2A"/>
    <w:rsid w:val="16A0AB77"/>
    <w:rsid w:val="18D01CA9"/>
    <w:rsid w:val="194542E0"/>
    <w:rsid w:val="19B73751"/>
    <w:rsid w:val="1A61A29F"/>
    <w:rsid w:val="209701E8"/>
    <w:rsid w:val="21000CB4"/>
    <w:rsid w:val="239400BE"/>
    <w:rsid w:val="24AEFEBC"/>
    <w:rsid w:val="24FBE331"/>
    <w:rsid w:val="25947B35"/>
    <w:rsid w:val="25CF27B9"/>
    <w:rsid w:val="261874C6"/>
    <w:rsid w:val="262C4AE6"/>
    <w:rsid w:val="27A9FABC"/>
    <w:rsid w:val="29736017"/>
    <w:rsid w:val="29AFD303"/>
    <w:rsid w:val="29DCD085"/>
    <w:rsid w:val="2AC0B967"/>
    <w:rsid w:val="2C976822"/>
    <w:rsid w:val="2D706489"/>
    <w:rsid w:val="2F7BFE4C"/>
    <w:rsid w:val="307F687F"/>
    <w:rsid w:val="31A5168A"/>
    <w:rsid w:val="33C0BC34"/>
    <w:rsid w:val="34DC1FD4"/>
    <w:rsid w:val="351E216B"/>
    <w:rsid w:val="379B4060"/>
    <w:rsid w:val="3832779E"/>
    <w:rsid w:val="398260A4"/>
    <w:rsid w:val="3B9E391F"/>
    <w:rsid w:val="3BF111E1"/>
    <w:rsid w:val="3C1AAACC"/>
    <w:rsid w:val="3CAF8525"/>
    <w:rsid w:val="3E51E14B"/>
    <w:rsid w:val="3E82CF49"/>
    <w:rsid w:val="3F9AA714"/>
    <w:rsid w:val="412CF658"/>
    <w:rsid w:val="414945E3"/>
    <w:rsid w:val="4300A61E"/>
    <w:rsid w:val="44D1935D"/>
    <w:rsid w:val="44E3987D"/>
    <w:rsid w:val="4543BA9F"/>
    <w:rsid w:val="47A719BF"/>
    <w:rsid w:val="47F95B09"/>
    <w:rsid w:val="4938D286"/>
    <w:rsid w:val="498FAE3D"/>
    <w:rsid w:val="4B9A3968"/>
    <w:rsid w:val="4BAF0AAC"/>
    <w:rsid w:val="4C3BBB11"/>
    <w:rsid w:val="4C5381AD"/>
    <w:rsid w:val="4DA4FE4A"/>
    <w:rsid w:val="4E0B478A"/>
    <w:rsid w:val="50A7F16D"/>
    <w:rsid w:val="510EF963"/>
    <w:rsid w:val="5173A474"/>
    <w:rsid w:val="528BDFEB"/>
    <w:rsid w:val="544602AD"/>
    <w:rsid w:val="545B07BD"/>
    <w:rsid w:val="551C5FAA"/>
    <w:rsid w:val="56666417"/>
    <w:rsid w:val="58ADD94E"/>
    <w:rsid w:val="5B83A23C"/>
    <w:rsid w:val="5C92E453"/>
    <w:rsid w:val="5CC110C5"/>
    <w:rsid w:val="5EBBFC91"/>
    <w:rsid w:val="5FBF66C4"/>
    <w:rsid w:val="5FFADC96"/>
    <w:rsid w:val="62379728"/>
    <w:rsid w:val="631EE4A1"/>
    <w:rsid w:val="63569230"/>
    <w:rsid w:val="641F4FDF"/>
    <w:rsid w:val="65228741"/>
    <w:rsid w:val="6661FEBE"/>
    <w:rsid w:val="672F4FF4"/>
    <w:rsid w:val="6859908B"/>
    <w:rsid w:val="69000A62"/>
    <w:rsid w:val="69AE3EEE"/>
    <w:rsid w:val="6A3F81DF"/>
    <w:rsid w:val="6A6FA78A"/>
    <w:rsid w:val="6D07BEE1"/>
    <w:rsid w:val="6F72A5E5"/>
    <w:rsid w:val="7052D021"/>
    <w:rsid w:val="726FA4BB"/>
    <w:rsid w:val="741C7E1D"/>
    <w:rsid w:val="744948CE"/>
    <w:rsid w:val="74BB7010"/>
    <w:rsid w:val="79E8A966"/>
    <w:rsid w:val="7A00A2D3"/>
    <w:rsid w:val="7AAA1202"/>
    <w:rsid w:val="7ABF1617"/>
    <w:rsid w:val="7C57B4B2"/>
    <w:rsid w:val="7CAA8C79"/>
    <w:rsid w:val="7D9C572E"/>
    <w:rsid w:val="7DD6D0E1"/>
    <w:rsid w:val="7D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1B57385"/>
  <w15:chartTrackingRefBased/>
  <w15:docId w15:val="{915B369A-A149-4A51-88BE-23C420F1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39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03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1DC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81D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1DC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81DC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45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E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5E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E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5E98"/>
    <w:rPr>
      <w:b/>
      <w:bCs/>
      <w:lang w:eastAsia="en-US"/>
    </w:rPr>
  </w:style>
  <w:style w:type="character" w:styleId="Hyperlink">
    <w:name w:val="Hyperlink"/>
    <w:uiPriority w:val="99"/>
    <w:unhideWhenUsed/>
    <w:rsid w:val="00731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E9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F7"/>
    <w:pPr>
      <w:spacing w:after="0" w:line="240" w:lineRule="auto"/>
      <w:ind w:left="8" w:hanging="8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3C0AF7"/>
    <w:rPr>
      <w:rFonts w:ascii="Arial" w:eastAsia="Arial" w:hAnsi="Arial" w:cs="Arial"/>
      <w:color w:val="000000"/>
    </w:rPr>
  </w:style>
  <w:style w:type="character" w:styleId="FootnoteReference">
    <w:name w:val="footnote reference"/>
    <w:uiPriority w:val="99"/>
    <w:semiHidden/>
    <w:unhideWhenUsed/>
    <w:rsid w:val="003C0AF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33E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533E3"/>
    <w:rPr>
      <w:lang w:eastAsia="en-US"/>
    </w:rPr>
  </w:style>
  <w:style w:type="character" w:styleId="EndnoteReference">
    <w:name w:val="endnote reference"/>
    <w:uiPriority w:val="99"/>
    <w:semiHidden/>
    <w:unhideWhenUsed/>
    <w:rsid w:val="00553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34A1-732D-4C9E-BA85-8EE5E0FA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Kimberley Fowke - Rugby AO</cp:lastModifiedBy>
  <cp:revision>2</cp:revision>
  <cp:lastPrinted>2020-01-14T09:28:00Z</cp:lastPrinted>
  <dcterms:created xsi:type="dcterms:W3CDTF">2022-08-12T08:01:00Z</dcterms:created>
  <dcterms:modified xsi:type="dcterms:W3CDTF">2022-08-12T08:01:00Z</dcterms:modified>
</cp:coreProperties>
</file>